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F62BF">
            <w:rPr>
              <w:rStyle w:val="Char6"/>
            </w:rPr>
            <w:t>Δημήτρης Λογαράς</w:t>
          </w:r>
        </w:sdtContent>
      </w:sdt>
    </w:p>
    <w:sdt>
      <w:sdtPr>
        <w:id w:val="-481314470"/>
        <w:placeholder>
          <w:docPart w:val="A54DD33D467348E491014F8052FC326E"/>
        </w:placeholder>
        <w:text/>
      </w:sdtPr>
      <w:sdtEndPr/>
      <w:sdtContent>
        <w:p w:rsidR="00CC62E9" w:rsidRPr="00AB2576" w:rsidRDefault="007D1B7C" w:rsidP="00CD3CE2">
          <w:pPr>
            <w:pStyle w:val="ac"/>
          </w:pPr>
          <w:r>
            <w:t>ΕΞΑΙΡΕΤΙΚΑ ΕΠΕΙΓΟΝ</w:t>
          </w:r>
        </w:p>
      </w:sdtContent>
    </w:sdt>
    <w:p w:rsidR="00A5663B" w:rsidRPr="00A5663B" w:rsidRDefault="00704E7E"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8-02T00:00:00Z">
                    <w:dateFormat w:val="dd.MM.yyyy"/>
                    <w:lid w:val="el-GR"/>
                    <w:storeMappedDataAs w:val="dateTime"/>
                    <w:calendar w:val="gregorian"/>
                  </w:date>
                </w:sdtPr>
                <w:sdtEndPr>
                  <w:rPr>
                    <w:rStyle w:val="a1"/>
                  </w:rPr>
                </w:sdtEndPr>
                <w:sdtContent>
                  <w:r w:rsidR="004D460B">
                    <w:rPr>
                      <w:rStyle w:val="Char6"/>
                    </w:rPr>
                    <w:t>02.08.2019</w:t>
                  </w:r>
                </w:sdtContent>
              </w:sdt>
            </w:sdtContent>
          </w:sdt>
        </w:sdtContent>
      </w:sdt>
    </w:p>
    <w:p w:rsidR="00A5663B" w:rsidRPr="00A5663B" w:rsidRDefault="00704E7E"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2A49F2">
            <w:rPr>
              <w:rStyle w:val="Char6"/>
            </w:rPr>
            <w:t>1091</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EF76A9">
                        <w:t>κ. Π. Θεοδωρικάκο, Υπουργό Εσωτερικ</w:t>
                      </w:r>
                      <w:r w:rsidR="004F7644">
                        <w:t xml:space="preserve">ών                                               κ. </w:t>
                      </w:r>
                      <w:r w:rsidR="00EF76A9">
                        <w:t xml:space="preserve"> </w:t>
                      </w:r>
                      <w:r w:rsidR="004F7644">
                        <w:t>Κ. Πιερρακάκη, Υπουργό Ψηφιακής Διακυβέρνησης</w:t>
                      </w:r>
                      <w:r w:rsidR="00B123D9">
                        <w:t xml:space="preserve">                    κ. Θ. Θεοχάρη, Υπουργό Τουρισμού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Theme="minorHAnsi" w:hAnsiTheme="minorHAnsi"/>
          <w:bCs w:val="0"/>
          <w:color w:val="000000"/>
          <w:spacing w:val="0"/>
          <w:sz w:val="24"/>
          <w:szCs w:val="24"/>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704E7E"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rFonts w:asciiTheme="minorHAnsi" w:hAnsiTheme="minorHAnsi"/>
                  </w:rPr>
                  <w:alias w:val="Θέμα της επιστολής"/>
                  <w:tag w:val="Θέμα της επιστολής"/>
                  <w:id w:val="-422648214"/>
                  <w:lock w:val="sdtLocked"/>
                  <w:placeholder>
                    <w:docPart w:val="56BD55A65CA34DA7AC4613538ABE5F8E"/>
                  </w:placeholder>
                </w:sdtPr>
                <w:sdtEndPr>
                  <w:rPr>
                    <w:szCs w:val="23"/>
                  </w:rPr>
                </w:sdtEndPr>
                <w:sdtContent>
                  <w:r w:rsidR="004D460B" w:rsidRPr="00E35F54">
                    <w:rPr>
                      <w:rFonts w:asciiTheme="minorHAnsi" w:hAnsiTheme="minorHAnsi" w:cstheme="minorHAnsi"/>
                      <w:bCs/>
                    </w:rPr>
                    <w:t>Διαβούλευση επί του Σχεδίου Νόμου</w:t>
                  </w:r>
                  <w:r w:rsidR="004D460B" w:rsidRPr="00E35F54">
                    <w:rPr>
                      <w:rFonts w:asciiTheme="minorHAnsi" w:hAnsiTheme="minorHAnsi" w:cstheme="minorHAnsi"/>
                      <w:b w:val="0"/>
                      <w:bCs/>
                    </w:rPr>
                    <w:t xml:space="preserve"> </w:t>
                  </w:r>
                  <w:r w:rsidR="004D460B" w:rsidRPr="00E35F54">
                    <w:rPr>
                      <w:rFonts w:asciiTheme="minorHAnsi" w:hAnsiTheme="minorHAnsi" w:cstheme="minorHAnsi"/>
                      <w:b w:val="0"/>
                      <w:bCs/>
                      <w:i/>
                    </w:rPr>
                    <w:t>“</w:t>
                  </w:r>
                  <w:r w:rsidR="004D460B" w:rsidRPr="00E35F54">
                    <w:rPr>
                      <w:rFonts w:asciiTheme="minorHAnsi" w:hAnsiTheme="minorHAnsi" w:cstheme="minorHAnsi"/>
                      <w:bCs/>
                      <w:i/>
                    </w:rPr>
                    <w:t>Επείγουσες ρυθμίσεις των Υπουργείων Εσωτερικών, Παιδείας και Θρησκευμάτων, Εργασίας και Κοινωνικών Υποθέσεων, Πολιτισμού και Αθλητισμού, Δικαιοσύνης, Ψηφιακής Διακυβέρνησης και Τουρισμού και διατάξεις για την ψηφιακή πολιτική, την ηλεκτρονική διακυβέρνηση και την απλούστευση των διοικητικών διαδικασιών</w:t>
                  </w:r>
                  <w:r w:rsidR="004D460B" w:rsidRPr="00E35F54">
                    <w:rPr>
                      <w:rFonts w:asciiTheme="minorHAnsi" w:hAnsiTheme="minorHAnsi" w:cstheme="minorHAnsi"/>
                      <w:b w:val="0"/>
                      <w:bCs/>
                      <w:i/>
                    </w:rPr>
                    <w:t>”</w:t>
                  </w:r>
                  <w:r w:rsidR="004D460B" w:rsidRPr="00E35F54">
                    <w:rPr>
                      <w:rFonts w:asciiTheme="minorHAnsi" w:hAnsiTheme="minorHAnsi" w:cstheme="minorHAnsi"/>
                      <w:b w:val="0"/>
                      <w:bCs/>
                    </w:rPr>
                    <w:t xml:space="preserve">: </w:t>
                  </w:r>
                  <w:r w:rsidR="004D460B" w:rsidRPr="00E35F54">
                    <w:rPr>
                      <w:rFonts w:asciiTheme="minorHAnsi" w:hAnsiTheme="minorHAnsi" w:cstheme="minorHAnsi"/>
                      <w:bCs/>
                    </w:rPr>
                    <w:t>η απάντηση της Ε.Σ.Α.μεΑ.</w:t>
                  </w:r>
                </w:sdtContent>
              </w:sdt>
              <w:r w:rsidR="002D0AB7">
                <w:rPr>
                  <w:rStyle w:val="ab"/>
                </w:rPr>
                <w:t>»</w:t>
              </w:r>
            </w:p>
            <w:p w:rsidR="002D0AB7" w:rsidRDefault="00704E7E" w:rsidP="00DD1D03">
              <w:pPr>
                <w:pBdr>
                  <w:top w:val="single" w:sz="4" w:space="1" w:color="auto"/>
                </w:pBdr>
                <w:spacing w:after="480"/>
              </w:pPr>
            </w:p>
          </w:sdtContent>
        </w:sdt>
        <w:bookmarkStart w:id="7" w:name="_GoBack" w:displacedByCustomXml="next"/>
        <w:sdt>
          <w:sdtPr>
            <w:rPr>
              <w:rFonts w:asciiTheme="minorHAnsi" w:hAnsiTheme="minorHAnsi"/>
              <w:color w:val="auto"/>
              <w:sz w:val="24"/>
              <w:szCs w:val="24"/>
              <w:lang w:eastAsia="el-GR"/>
            </w:rPr>
            <w:alias w:val="Σώμα της επιστολής"/>
            <w:tag w:val="Σώμα της επιστολής"/>
            <w:id w:val="-1096393226"/>
            <w:placeholder>
              <w:docPart w:val="D55DD9942FB747919333F5FFCA7331FE"/>
            </w:placeholder>
          </w:sdtPr>
          <w:sdtEndPr>
            <w:rPr>
              <w:color w:val="000000"/>
              <w:lang w:eastAsia="en-US"/>
            </w:rPr>
          </w:sdtEndPr>
          <w:sdtContent>
            <w:p w:rsidR="004D460B" w:rsidRPr="00E35F54" w:rsidRDefault="002A49F2" w:rsidP="00E35F54">
              <w:pPr>
                <w:spacing w:line="240" w:lineRule="auto"/>
                <w:rPr>
                  <w:rFonts w:asciiTheme="minorHAnsi" w:hAnsiTheme="minorHAnsi"/>
                  <w:b/>
                  <w:i/>
                  <w:color w:val="auto"/>
                  <w:sz w:val="24"/>
                  <w:szCs w:val="24"/>
                  <w:lang w:eastAsia="el-GR"/>
                </w:rPr>
              </w:pPr>
              <w:r w:rsidRPr="002A49F2">
                <w:rPr>
                  <w:rFonts w:asciiTheme="minorHAnsi" w:hAnsiTheme="minorHAnsi"/>
                  <w:b/>
                  <w:i/>
                  <w:color w:val="auto"/>
                  <w:sz w:val="24"/>
                  <w:szCs w:val="24"/>
                  <w:lang w:eastAsia="el-GR"/>
                </w:rPr>
                <w:t>Αξιότιμοι</w:t>
              </w:r>
              <w:r>
                <w:rPr>
                  <w:rFonts w:asciiTheme="minorHAnsi" w:hAnsiTheme="minorHAnsi"/>
                  <w:color w:val="auto"/>
                  <w:sz w:val="24"/>
                  <w:szCs w:val="24"/>
                  <w:lang w:eastAsia="el-GR"/>
                </w:rPr>
                <w:t xml:space="preserve"> </w:t>
              </w:r>
              <w:r>
                <w:rPr>
                  <w:rFonts w:asciiTheme="minorHAnsi" w:hAnsiTheme="minorHAnsi"/>
                  <w:b/>
                  <w:i/>
                  <w:color w:val="auto"/>
                  <w:sz w:val="24"/>
                  <w:szCs w:val="24"/>
                  <w:lang w:eastAsia="el-GR"/>
                </w:rPr>
                <w:t xml:space="preserve">κύριοι </w:t>
              </w:r>
              <w:r w:rsidR="004D460B" w:rsidRPr="00E35F54">
                <w:rPr>
                  <w:rFonts w:asciiTheme="minorHAnsi" w:hAnsiTheme="minorHAnsi"/>
                  <w:b/>
                  <w:i/>
                  <w:color w:val="auto"/>
                  <w:sz w:val="24"/>
                  <w:szCs w:val="24"/>
                  <w:lang w:eastAsia="el-GR"/>
                </w:rPr>
                <w:t xml:space="preserve">Υπουργοί, </w:t>
              </w:r>
            </w:p>
            <w:p w:rsidR="004D460B" w:rsidRPr="00B37D49" w:rsidRDefault="004D460B" w:rsidP="00E35F54">
              <w:pPr>
                <w:spacing w:line="240" w:lineRule="auto"/>
                <w:rPr>
                  <w:rFonts w:asciiTheme="minorHAnsi" w:hAnsiTheme="minorHAnsi" w:cstheme="minorHAnsi"/>
                  <w:b/>
                  <w:bCs/>
                  <w:color w:val="auto"/>
                  <w:sz w:val="24"/>
                  <w:szCs w:val="24"/>
                </w:rPr>
              </w:pPr>
              <w:r w:rsidRPr="00E35F54">
                <w:rPr>
                  <w:rFonts w:asciiTheme="minorHAnsi" w:hAnsiTheme="minorHAnsi"/>
                  <w:color w:val="auto"/>
                  <w:sz w:val="24"/>
                  <w:szCs w:val="24"/>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 </w:t>
              </w:r>
              <w:r w:rsidRPr="00E35F54">
                <w:rPr>
                  <w:rFonts w:asciiTheme="minorHAnsi" w:hAnsiTheme="minorHAnsi"/>
                  <w:sz w:val="24"/>
                  <w:szCs w:val="24"/>
                </w:rPr>
                <w:t xml:space="preserve">με την παρούσα επιστολή </w:t>
              </w:r>
              <w:r w:rsidRPr="00E35F54">
                <w:rPr>
                  <w:rFonts w:asciiTheme="minorHAnsi" w:hAnsiTheme="minorHAnsi"/>
                  <w:color w:val="auto"/>
                  <w:sz w:val="24"/>
                  <w:szCs w:val="24"/>
                </w:rPr>
                <w:t xml:space="preserve">σας υποβάλλει τις προτάσεις της επί του Σχεδίου Νόμου </w:t>
              </w:r>
              <w:r w:rsidRPr="00E35F54">
                <w:rPr>
                  <w:rFonts w:asciiTheme="minorHAnsi" w:hAnsiTheme="minorHAnsi"/>
                  <w:i/>
                  <w:color w:val="auto"/>
                  <w:sz w:val="24"/>
                  <w:szCs w:val="24"/>
                </w:rPr>
                <w:t>«</w:t>
              </w:r>
              <w:r w:rsidRPr="00E35F54">
                <w:rPr>
                  <w:rFonts w:asciiTheme="minorHAnsi" w:hAnsiTheme="minorHAnsi" w:cstheme="minorHAnsi"/>
                  <w:bCs/>
                  <w:i/>
                  <w:color w:val="auto"/>
                  <w:sz w:val="24"/>
                  <w:szCs w:val="24"/>
                </w:rPr>
                <w:t>Επείγουσες ρυθμίσεις των Υπουργείων Εσωτερικών, Παιδείας και Θρησκευμάτων, Εργασίας και Κοινωνικών Υποθέσεων, Πολιτισμού και Αθλητισμού, Δικαιοσύνης, Ψηφιακής Διακυβέρνησης και Τουρισμού και διατάξεις για την ψηφιακή πολιτική, την ηλεκτρονική διακυβέρνηση και την απλούστευση των διοικητικών διαδικασιών</w:t>
              </w:r>
              <w:r w:rsidRPr="00E35F54">
                <w:rPr>
                  <w:rFonts w:asciiTheme="minorHAnsi" w:hAnsiTheme="minorHAnsi" w:cstheme="minorHAnsi"/>
                  <w:bCs/>
                  <w:i/>
                  <w:sz w:val="24"/>
                  <w:szCs w:val="24"/>
                </w:rPr>
                <w:t xml:space="preserve">». </w:t>
              </w:r>
              <w:r w:rsidRPr="00B37D49">
                <w:rPr>
                  <w:rFonts w:asciiTheme="minorHAnsi" w:hAnsiTheme="minorHAnsi" w:cstheme="minorHAnsi"/>
                  <w:bCs/>
                  <w:color w:val="auto"/>
                  <w:sz w:val="24"/>
                  <w:szCs w:val="24"/>
                </w:rPr>
                <w:t>Οι προτάσεις που περιλαμβάνονται στο παρόν έγγραφό μας υποβλήθηκαν και ηλεκτρονικά στην ιστοσελίδα www.opegov.gr στις 02.08.2019.</w:t>
              </w:r>
            </w:p>
            <w:p w:rsidR="004D460B" w:rsidRPr="00E35F54" w:rsidRDefault="00E873E6" w:rsidP="00E35F54">
              <w:pPr>
                <w:spacing w:line="240" w:lineRule="auto"/>
                <w:rPr>
                  <w:rFonts w:asciiTheme="minorHAnsi" w:hAnsiTheme="minorHAnsi" w:cstheme="minorHAnsi"/>
                  <w:b/>
                  <w:bCs/>
                  <w:sz w:val="24"/>
                  <w:szCs w:val="24"/>
                  <w:u w:val="single"/>
                </w:rPr>
              </w:pPr>
              <w:r w:rsidRPr="00E35F54">
                <w:rPr>
                  <w:rFonts w:asciiTheme="minorHAnsi" w:hAnsiTheme="minorHAnsi" w:cstheme="minorHAnsi"/>
                  <w:b/>
                  <w:bCs/>
                  <w:sz w:val="24"/>
                  <w:szCs w:val="24"/>
                  <w:u w:val="single"/>
                </w:rPr>
                <w:t>Στη βάση των παρακάτω επιταγών</w:t>
              </w:r>
              <w:r w:rsidR="004D460B" w:rsidRPr="00E35F54">
                <w:rPr>
                  <w:rFonts w:asciiTheme="minorHAnsi" w:hAnsiTheme="minorHAnsi" w:cstheme="minorHAnsi"/>
                  <w:b/>
                  <w:bCs/>
                  <w:sz w:val="24"/>
                  <w:szCs w:val="24"/>
                  <w:u w:val="single"/>
                </w:rPr>
                <w:t>/</w:t>
              </w:r>
              <w:r w:rsidRPr="00E35F54">
                <w:rPr>
                  <w:rFonts w:asciiTheme="minorHAnsi" w:hAnsiTheme="minorHAnsi" w:cstheme="minorHAnsi"/>
                  <w:b/>
                  <w:bCs/>
                  <w:sz w:val="24"/>
                  <w:szCs w:val="24"/>
                  <w:u w:val="single"/>
                </w:rPr>
                <w:t>απαιτήσεων</w:t>
              </w:r>
              <w:r w:rsidR="004D460B" w:rsidRPr="00E35F54">
                <w:rPr>
                  <w:rFonts w:asciiTheme="minorHAnsi" w:hAnsiTheme="minorHAnsi" w:cstheme="minorHAnsi"/>
                  <w:b/>
                  <w:bCs/>
                  <w:sz w:val="24"/>
                  <w:szCs w:val="24"/>
                  <w:u w:val="single"/>
                </w:rPr>
                <w:t>:</w:t>
              </w:r>
            </w:p>
            <w:p w:rsidR="004D460B" w:rsidRPr="00E35F54" w:rsidRDefault="004D460B" w:rsidP="00E35F54">
              <w:pPr>
                <w:tabs>
                  <w:tab w:val="left" w:pos="0"/>
                </w:tabs>
                <w:spacing w:line="240" w:lineRule="auto"/>
                <w:rPr>
                  <w:rFonts w:asciiTheme="minorHAnsi" w:eastAsia="Cambria" w:hAnsiTheme="minorHAnsi" w:cs="Cambria"/>
                  <w:sz w:val="24"/>
                  <w:szCs w:val="24"/>
                </w:rPr>
              </w:pPr>
              <w:r w:rsidRPr="00E35F54">
                <w:rPr>
                  <w:rFonts w:asciiTheme="minorHAnsi" w:eastAsia="Cambria" w:hAnsiTheme="minorHAnsi" w:cs="Cambria"/>
                  <w:sz w:val="24"/>
                  <w:szCs w:val="24"/>
                </w:rPr>
                <w:t xml:space="preserve">α) της παρ. 6 του Άρθρου 21 του Συντάγματος της χώρας, σύμφωνα με την οποία </w:t>
              </w:r>
              <w:r w:rsidRPr="00E35F54">
                <w:rPr>
                  <w:rFonts w:asciiTheme="minorHAnsi" w:eastAsia="Cambria" w:hAnsiTheme="minorHAnsi" w:cs="Cambria"/>
                  <w:i/>
                  <w:sz w:val="24"/>
                  <w:szCs w:val="24"/>
                </w:rPr>
                <w:t xml:space="preserve">«τα άτομα με αναπηρίες έχουν δικαίωμα να απολαμβάνουν μέτρων που εξασφαλίζουν </w:t>
              </w:r>
              <w:r w:rsidRPr="00E35F54">
                <w:rPr>
                  <w:rFonts w:asciiTheme="minorHAnsi" w:eastAsia="Cambria" w:hAnsiTheme="minorHAnsi" w:cs="Cambria"/>
                  <w:i/>
                  <w:sz w:val="24"/>
                  <w:szCs w:val="24"/>
                </w:rPr>
                <w:lastRenderedPageBreak/>
                <w:t>την αυτονομία, την επαγγελματική ένταξη και τη συμμετοχή τους στην κοινωνική, οικονομική και πολιτική ζωή της Χώρας»</w:t>
              </w:r>
              <w:r w:rsidRPr="00E35F54">
                <w:rPr>
                  <w:rFonts w:asciiTheme="minorHAnsi" w:eastAsia="Cambria" w:hAnsiTheme="minorHAnsi" w:cs="Cambria"/>
                  <w:sz w:val="24"/>
                  <w:szCs w:val="24"/>
                </w:rPr>
                <w:t xml:space="preserve">, </w:t>
              </w:r>
            </w:p>
            <w:p w:rsidR="004D460B" w:rsidRPr="00E35F54" w:rsidRDefault="004D460B" w:rsidP="00E35F54">
              <w:pPr>
                <w:tabs>
                  <w:tab w:val="left" w:pos="0"/>
                </w:tabs>
                <w:spacing w:line="240" w:lineRule="auto"/>
                <w:rPr>
                  <w:rFonts w:asciiTheme="minorHAnsi" w:eastAsia="Cambria" w:hAnsiTheme="minorHAnsi" w:cs="Cambria"/>
                  <w:sz w:val="24"/>
                  <w:szCs w:val="24"/>
                </w:rPr>
              </w:pPr>
              <w:r w:rsidRPr="00E35F54">
                <w:rPr>
                  <w:rFonts w:asciiTheme="minorHAnsi" w:eastAsia="Cambria" w:hAnsiTheme="minorHAnsi" w:cs="Cambria"/>
                  <w:sz w:val="24"/>
                  <w:szCs w:val="24"/>
                </w:rPr>
                <w:t>β) των παρ. 1 και 2 του Άρθρου 5Α του Συντάγματος της χώρας, σύμφωνα με τις οποίες: «</w:t>
              </w:r>
              <w:r w:rsidRPr="00E35F54">
                <w:rPr>
                  <w:rFonts w:asciiTheme="minorHAnsi" w:eastAsia="Cambria" w:hAnsiTheme="minorHAnsi" w:cs="Cambria"/>
                  <w:i/>
                  <w:sz w:val="24"/>
                  <w:szCs w:val="24"/>
                </w:rPr>
                <w:t>Καθένας έχει δικαίωμα στην πληροφόρηση, όπως νόμος ορίζει…..</w:t>
              </w:r>
              <w:r w:rsidRPr="00E35F54">
                <w:rPr>
                  <w:rFonts w:asciiTheme="minorHAnsi" w:eastAsia="Cambria" w:hAnsiTheme="minorHAnsi" w:cs="Cambria"/>
                  <w:sz w:val="24"/>
                  <w:szCs w:val="24"/>
                </w:rPr>
                <w:t>» και «</w:t>
              </w:r>
              <w:r w:rsidRPr="00E35F54">
                <w:rPr>
                  <w:rFonts w:asciiTheme="minorHAnsi" w:eastAsia="Cambria" w:hAnsiTheme="minorHAnsi" w:cs="Cambria"/>
                  <w:i/>
                  <w:sz w:val="24"/>
                  <w:szCs w:val="24"/>
                </w:rPr>
                <w:t>Καθένας έχει δικαίωμα συμμετοχής στην Κοινωνία της Πληροφορίας. Η διευκόλυνση της πρόσβασης στις πληροφορίες που διακινούνται ηλεκτρονικά, καθώς και της παραγωγής, ανταλλαγής και διάδοσής τους αποτελεί υποχρέωση του Κράτους….</w:t>
              </w:r>
              <w:r w:rsidRPr="00E35F54">
                <w:rPr>
                  <w:rFonts w:asciiTheme="minorHAnsi" w:eastAsia="Cambria" w:hAnsiTheme="minorHAnsi" w:cs="Cambria"/>
                  <w:sz w:val="24"/>
                  <w:szCs w:val="24"/>
                </w:rPr>
                <w:t xml:space="preserve">», </w:t>
              </w:r>
            </w:p>
            <w:p w:rsidR="004D460B" w:rsidRPr="00E35F54" w:rsidRDefault="004D460B" w:rsidP="00E35F54">
              <w:pPr>
                <w:tabs>
                  <w:tab w:val="left" w:pos="0"/>
                </w:tabs>
                <w:spacing w:line="240" w:lineRule="auto"/>
                <w:rPr>
                  <w:rFonts w:asciiTheme="minorHAnsi" w:hAnsiTheme="minorHAnsi"/>
                  <w:sz w:val="24"/>
                  <w:szCs w:val="24"/>
                </w:rPr>
              </w:pPr>
              <w:r w:rsidRPr="00E35F54">
                <w:rPr>
                  <w:rFonts w:asciiTheme="minorHAnsi" w:eastAsia="Cambria" w:hAnsiTheme="minorHAnsi" w:cs="Cambria"/>
                  <w:sz w:val="24"/>
                  <w:szCs w:val="24"/>
                </w:rPr>
                <w:t xml:space="preserve">γ) </w:t>
              </w:r>
              <w:r w:rsidRPr="00E35F54">
                <w:rPr>
                  <w:rFonts w:asciiTheme="minorHAnsi" w:hAnsiTheme="minorHAnsi"/>
                  <w:sz w:val="24"/>
                  <w:szCs w:val="24"/>
                </w:rPr>
                <w:t>της Σύμβασης των Ηνωμένων Εθνών για τα Δ</w:t>
              </w:r>
              <w:r w:rsidR="00730F2D" w:rsidRPr="00E35F54">
                <w:rPr>
                  <w:rFonts w:asciiTheme="minorHAnsi" w:hAnsiTheme="minorHAnsi"/>
                  <w:sz w:val="24"/>
                  <w:szCs w:val="24"/>
                </w:rPr>
                <w:t>ικαιώματα των Ατόμων με Αναπηρίες</w:t>
              </w:r>
              <w:r w:rsidRPr="00E35F54">
                <w:rPr>
                  <w:rFonts w:asciiTheme="minorHAnsi" w:hAnsiTheme="minorHAnsi"/>
                  <w:sz w:val="24"/>
                  <w:szCs w:val="24"/>
                </w:rPr>
                <w:t xml:space="preserve">, η οποία κυρώθηκε από την Ελληνική Βουλή με τον ν.4074/2012, </w:t>
              </w:r>
            </w:p>
            <w:p w:rsidR="004D460B" w:rsidRPr="00E35F54" w:rsidRDefault="004D460B" w:rsidP="00E35F54">
              <w:pPr>
                <w:autoSpaceDE w:val="0"/>
                <w:autoSpaceDN w:val="0"/>
                <w:adjustRightInd w:val="0"/>
                <w:spacing w:after="200" w:line="240" w:lineRule="auto"/>
                <w:rPr>
                  <w:rFonts w:asciiTheme="minorHAnsi" w:hAnsiTheme="minorHAnsi" w:cs="Arial"/>
                  <w:sz w:val="24"/>
                  <w:szCs w:val="24"/>
                  <w:shd w:val="clear" w:color="auto" w:fill="FFFFFF"/>
                </w:rPr>
              </w:pPr>
              <w:r w:rsidRPr="00E35F54">
                <w:rPr>
                  <w:rFonts w:asciiTheme="minorHAnsi" w:eastAsia="Cambria" w:hAnsiTheme="minorHAnsi" w:cs="Cambria"/>
                  <w:sz w:val="24"/>
                  <w:szCs w:val="24"/>
                </w:rPr>
                <w:t>δ)</w:t>
              </w:r>
              <w:r w:rsidRPr="00E35F54">
                <w:rPr>
                  <w:rFonts w:asciiTheme="minorHAnsi" w:hAnsiTheme="minorHAnsi"/>
                  <w:b/>
                  <w:sz w:val="24"/>
                  <w:szCs w:val="24"/>
                </w:rPr>
                <w:t xml:space="preserve"> </w:t>
              </w:r>
              <w:r w:rsidRPr="00E35F54">
                <w:rPr>
                  <w:rFonts w:asciiTheme="minorHAnsi" w:hAnsiTheme="minorHAnsi"/>
                  <w:sz w:val="24"/>
                  <w:szCs w:val="24"/>
                </w:rPr>
                <w:t xml:space="preserve">του Μέρους Δ΄ του ν.4488/2017, στο οποίο περιλαμβάνονται </w:t>
              </w:r>
              <w:r w:rsidR="00730F2D" w:rsidRPr="00E35F54">
                <w:rPr>
                  <w:rFonts w:asciiTheme="minorHAnsi" w:hAnsiTheme="minorHAnsi"/>
                  <w:sz w:val="24"/>
                  <w:szCs w:val="24"/>
                </w:rPr>
                <w:t xml:space="preserve">οι </w:t>
              </w:r>
              <w:r w:rsidRPr="00E35F54">
                <w:rPr>
                  <w:rFonts w:asciiTheme="minorHAnsi" w:hAnsiTheme="minorHAnsi"/>
                  <w:sz w:val="24"/>
                  <w:szCs w:val="24"/>
                </w:rPr>
                <w:t>«</w:t>
              </w:r>
              <w:r w:rsidRPr="00E35F54">
                <w:rPr>
                  <w:rFonts w:asciiTheme="minorHAnsi" w:hAnsiTheme="minorHAnsi"/>
                  <w:i/>
                  <w:sz w:val="24"/>
                  <w:szCs w:val="24"/>
                </w:rPr>
                <w:t>Κατευθυντήριες -Οργανωτικές διατάξεις υλοποίησης της Σύμβασης των Ηνωμένων Εθνών για τα Δικαιώματα των Ατόμων με Αναπηρίες»,</w:t>
              </w:r>
              <w:r w:rsidRPr="00E35F54">
                <w:rPr>
                  <w:rFonts w:asciiTheme="minorHAnsi" w:hAnsiTheme="minorHAnsi"/>
                  <w:sz w:val="24"/>
                  <w:szCs w:val="24"/>
                </w:rPr>
                <w:t xml:space="preserve"> </w:t>
              </w:r>
            </w:p>
            <w:p w:rsidR="004D460B" w:rsidRPr="00E35F54" w:rsidRDefault="004D460B" w:rsidP="00E35F54">
              <w:pPr>
                <w:tabs>
                  <w:tab w:val="left" w:pos="0"/>
                </w:tabs>
                <w:spacing w:line="240" w:lineRule="auto"/>
                <w:rPr>
                  <w:rFonts w:asciiTheme="minorHAnsi" w:hAnsiTheme="minorHAnsi"/>
                  <w:sz w:val="24"/>
                  <w:szCs w:val="24"/>
                </w:rPr>
              </w:pPr>
              <w:r w:rsidRPr="00E35F54">
                <w:rPr>
                  <w:rFonts w:asciiTheme="minorHAnsi" w:hAnsiTheme="minorHAnsi"/>
                  <w:sz w:val="24"/>
                  <w:szCs w:val="24"/>
                </w:rPr>
                <w:t xml:space="preserve">ε) των παρ. 7 και 8 του άρθρου 4 του ν.3979/2011, στις οποίες αναφέρεται ότι:  </w:t>
              </w:r>
              <w:r w:rsidRPr="00E35F54">
                <w:rPr>
                  <w:rFonts w:asciiTheme="minorHAnsi" w:hAnsiTheme="minorHAnsi"/>
                  <w:i/>
                  <w:sz w:val="24"/>
                  <w:szCs w:val="24"/>
                </w:rPr>
                <w:t>«7. Οι φορείς του δημόσιου τομέα διαμορφώνουν την πληροφόρηση και επικοινωνία και εν γένει τις υπηρεσίες ηλεκτρονικής διακυβέρνησης κατά τρόπο, ώστε αυτές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και να λαμβάνουν υπόψη τις ιδιαίτερες ανάγκες πρόσβασης ορισμένων ομάδων ή ατόμων και ιδίως των ατόμων με αναπηρία. 8. Ο σχεδιασμός και η εφαρμογή υπηρεσιών ηλεκτρονικής διακυβέρνησης και η διαμόρφωση και προμήθεια των αντίστοιχων πληροφοριακών και επικοινωνιακών συστημάτων και υπηρεσιών πρέπει να γίνεται με γνώμονα τη διασφάλιση της ηλεκτρονικής προσβασιμότητας σε άτομα με αναπηρίες και τη δυνατότητα αξιοποίησης των σχετικών υπηρεσιών από αυτά»</w:t>
              </w:r>
              <w:r w:rsidRPr="00E35F54">
                <w:rPr>
                  <w:rFonts w:asciiTheme="minorHAnsi" w:hAnsiTheme="minorHAnsi"/>
                  <w:sz w:val="24"/>
                  <w:szCs w:val="24"/>
                </w:rPr>
                <w:t xml:space="preserve">,  </w:t>
              </w:r>
            </w:p>
            <w:p w:rsidR="004D460B" w:rsidRPr="00E35F54" w:rsidRDefault="004D460B" w:rsidP="00E35F54">
              <w:pPr>
                <w:tabs>
                  <w:tab w:val="left" w:pos="0"/>
                </w:tabs>
                <w:spacing w:line="240" w:lineRule="auto"/>
                <w:rPr>
                  <w:rFonts w:asciiTheme="minorHAnsi" w:eastAsia="Cambria" w:hAnsiTheme="minorHAnsi" w:cs="Cambria"/>
                  <w:sz w:val="24"/>
                  <w:szCs w:val="24"/>
                </w:rPr>
              </w:pPr>
              <w:r w:rsidRPr="00E35F54">
                <w:rPr>
                  <w:rFonts w:asciiTheme="minorHAnsi" w:eastAsia="Cambria" w:hAnsiTheme="minorHAnsi" w:cs="Cambria"/>
                  <w:sz w:val="24"/>
                  <w:szCs w:val="24"/>
                </w:rPr>
                <w:t>στ) του Πρώτου Μέρους του ν.4591/2019, με τον οποίο ενσωματώθηκε στην εθνική μας νομοθεσία η Οδηγία (ΕΕ) 2016/2102 του Ευρωπαϊκού Κοινοβουλίου και του Συμβουλίου, της 26ης Οκτωβρίου 2016, για την προσβασιμότητα των ιστότοπων και των εφαρμογών για φορητές συσκευές των</w:t>
              </w:r>
              <w:r w:rsidR="00E873E6" w:rsidRPr="00E35F54">
                <w:rPr>
                  <w:rFonts w:asciiTheme="minorHAnsi" w:eastAsia="Cambria" w:hAnsiTheme="minorHAnsi" w:cs="Cambria"/>
                  <w:sz w:val="24"/>
                  <w:szCs w:val="24"/>
                </w:rPr>
                <w:t xml:space="preserve"> οργανισμών του δημόσιου τομέα, </w:t>
              </w:r>
            </w:p>
            <w:p w:rsidR="004D460B" w:rsidRPr="00EF5990" w:rsidRDefault="004D460B" w:rsidP="00E35F54">
              <w:pPr>
                <w:tabs>
                  <w:tab w:val="left" w:pos="0"/>
                </w:tabs>
                <w:spacing w:line="240" w:lineRule="auto"/>
                <w:rPr>
                  <w:rFonts w:asciiTheme="minorHAnsi" w:eastAsia="Cambria" w:hAnsiTheme="minorHAnsi" w:cs="Cambria"/>
                  <w:color w:val="auto"/>
                  <w:sz w:val="24"/>
                  <w:szCs w:val="24"/>
                </w:rPr>
              </w:pPr>
              <w:r w:rsidRPr="00EF5990">
                <w:rPr>
                  <w:rFonts w:asciiTheme="minorHAnsi" w:eastAsia="Cambria" w:hAnsiTheme="minorHAnsi" w:cs="Cambria"/>
                  <w:color w:val="auto"/>
                  <w:sz w:val="24"/>
                  <w:szCs w:val="24"/>
                </w:rPr>
                <w:t xml:space="preserve">ζ) της ΥΑΠ/Φ.40.4/1/989 </w:t>
              </w:r>
              <w:r w:rsidRPr="00EF5990">
                <w:rPr>
                  <w:rFonts w:asciiTheme="minorHAnsi" w:eastAsia="Cambria" w:hAnsiTheme="minorHAnsi" w:cs="Cambria"/>
                  <w:i/>
                  <w:color w:val="auto"/>
                  <w:sz w:val="24"/>
                  <w:szCs w:val="24"/>
                </w:rPr>
                <w:t>«Κύρωση Πλαισίου Παροχής Υπηρεσιών Ηλεκτρονικής Διακυβέρνησης»</w:t>
              </w:r>
              <w:r w:rsidRPr="00EF5990">
                <w:rPr>
                  <w:rFonts w:asciiTheme="minorHAnsi" w:eastAsia="Cambria" w:hAnsiTheme="minorHAnsi" w:cs="Cambria"/>
                  <w:color w:val="auto"/>
                  <w:sz w:val="24"/>
                  <w:szCs w:val="24"/>
                </w:rPr>
                <w:t xml:space="preserve">, όπου στο Παράρτημα Ι (στην ενότητα 7 «Προσβασιμότητα», ΚΥ. 49 -Βλ. επίσης ΚΠ.27) ορίζεται ότι οι δημόσιοι διαδικτυακοί τόποι πρέπει να συμμορφώνονται με το πρότυπο </w:t>
              </w:r>
              <w:r w:rsidRPr="00EF5990">
                <w:rPr>
                  <w:rFonts w:asciiTheme="minorHAnsi" w:eastAsia="Cambria" w:hAnsiTheme="minorHAnsi" w:cs="Cambria"/>
                  <w:i/>
                  <w:color w:val="auto"/>
                  <w:sz w:val="24"/>
                  <w:szCs w:val="24"/>
                </w:rPr>
                <w:t>«Οδηγίες για την Προσβασιμότητα του Περιεχομένου του Ιστού»</w:t>
              </w:r>
              <w:r w:rsidRPr="00EF5990">
                <w:rPr>
                  <w:rFonts w:asciiTheme="minorHAnsi" w:eastAsia="Cambria" w:hAnsiTheme="minorHAnsi" w:cs="Cambria"/>
                  <w:color w:val="auto"/>
                  <w:sz w:val="24"/>
                  <w:szCs w:val="24"/>
                </w:rPr>
                <w:t xml:space="preserve"> (WCAG) έκδοση 2.0, επίπεδο προσβασιμότητας τουλάχιστον «ΑΑ», το οποίο αποτελεί το de facto πρότυπο ηλεκτρονικής προσβασιμότητας, </w:t>
              </w:r>
            </w:p>
            <w:p w:rsidR="004D460B" w:rsidRPr="00E35F54" w:rsidRDefault="004D460B" w:rsidP="00E35F54">
              <w:pPr>
                <w:autoSpaceDE w:val="0"/>
                <w:autoSpaceDN w:val="0"/>
                <w:adjustRightInd w:val="0"/>
                <w:spacing w:after="200" w:line="240" w:lineRule="auto"/>
                <w:rPr>
                  <w:rFonts w:asciiTheme="minorHAnsi" w:hAnsiTheme="minorHAnsi"/>
                  <w:sz w:val="24"/>
                  <w:szCs w:val="24"/>
                </w:rPr>
              </w:pPr>
              <w:r w:rsidRPr="00E35F54">
                <w:rPr>
                  <w:rFonts w:asciiTheme="minorHAnsi" w:eastAsia="Cambria" w:hAnsiTheme="minorHAnsi" w:cs="Cambria"/>
                  <w:sz w:val="24"/>
                  <w:szCs w:val="24"/>
                </w:rPr>
                <w:t>η)</w:t>
              </w:r>
              <w:r w:rsidRPr="00E35F54">
                <w:rPr>
                  <w:rFonts w:asciiTheme="minorHAnsi" w:hAnsiTheme="minorHAnsi"/>
                  <w:b/>
                  <w:sz w:val="24"/>
                  <w:szCs w:val="24"/>
                </w:rPr>
                <w:t xml:space="preserve"> </w:t>
              </w:r>
              <w:r w:rsidRPr="00E35F54">
                <w:rPr>
                  <w:rFonts w:asciiTheme="minorHAnsi" w:hAnsiTheme="minorHAnsi"/>
                  <w:sz w:val="24"/>
                  <w:szCs w:val="24"/>
                </w:rPr>
                <w:t>του άρθρου 5 του ν. 4443/2016</w:t>
              </w:r>
              <w:r w:rsidR="00730F2D" w:rsidRPr="00E35F54">
                <w:rPr>
                  <w:rFonts w:asciiTheme="minorHAnsi" w:hAnsiTheme="minorHAnsi"/>
                  <w:sz w:val="24"/>
                  <w:szCs w:val="24"/>
                </w:rPr>
                <w:t>, στο οποίο</w:t>
              </w:r>
              <w:r w:rsidRPr="00E35F54">
                <w:rPr>
                  <w:rFonts w:asciiTheme="minorHAnsi" w:hAnsiTheme="minorHAnsi"/>
                  <w:sz w:val="24"/>
                  <w:szCs w:val="24"/>
                </w:rPr>
                <w:t xml:space="preserve"> αναφέρεται ότι: </w:t>
              </w:r>
              <w:r w:rsidRPr="00E35F54">
                <w:rPr>
                  <w:rFonts w:asciiTheme="minorHAnsi" w:hAnsiTheme="minorHAnsi"/>
                  <w:i/>
                  <w:sz w:val="24"/>
                  <w:szCs w:val="24"/>
                </w:rPr>
                <w:t xml:space="preserve">«Για την τήρηση της αρχής της ίσης μεταχείρισης στον τομέα της εργασίας και της απασχόλησης έναντι ατόμων με αναπηρία ή χρόνια πάθηση, ο εργοδότης υποχρεώνεται στη λήψη όλων των ενδεδειγμένων κατά περίπτωση μέτρων, προκειμένου τα άτομα αυτά να έχουν </w:t>
              </w:r>
              <w:r w:rsidRPr="00E35F54">
                <w:rPr>
                  <w:rFonts w:asciiTheme="minorHAnsi" w:hAnsiTheme="minorHAnsi"/>
                  <w:i/>
                  <w:sz w:val="24"/>
                  <w:szCs w:val="24"/>
                </w:rPr>
                <w:lastRenderedPageBreak/>
                <w:t>δυνατότητα πρόσβασης σε θέση εργασίας, να ασκούν αυτή και να εξελίσσονται, καθώς και δυνατότητα συμμετοχής στην επαγγελματική κατάρτιση, εφόσον τα μέτρα αυτά δεν συνεπάγονται δυσανάλογη επιβάρυνση για τον εργοδότη»</w:t>
              </w:r>
              <w:r w:rsidRPr="00E35F54">
                <w:rPr>
                  <w:rFonts w:asciiTheme="minorHAnsi" w:hAnsiTheme="minorHAnsi"/>
                  <w:sz w:val="24"/>
                  <w:szCs w:val="24"/>
                </w:rPr>
                <w:t xml:space="preserve">. </w:t>
              </w:r>
            </w:p>
            <w:p w:rsidR="004D460B" w:rsidRPr="00E35F54" w:rsidRDefault="004D460B" w:rsidP="00E35F54">
              <w:pPr>
                <w:tabs>
                  <w:tab w:val="left" w:pos="0"/>
                </w:tabs>
                <w:spacing w:line="240" w:lineRule="auto"/>
                <w:rPr>
                  <w:rFonts w:asciiTheme="minorHAnsi" w:eastAsia="Cambria" w:hAnsiTheme="minorHAnsi" w:cs="Cambria"/>
                  <w:i/>
                  <w:sz w:val="24"/>
                  <w:szCs w:val="24"/>
                </w:rPr>
              </w:pPr>
              <w:r w:rsidRPr="00E35F54">
                <w:rPr>
                  <w:rFonts w:asciiTheme="minorHAnsi" w:eastAsia="Cambria" w:hAnsiTheme="minorHAnsi" w:cs="Cambria"/>
                  <w:sz w:val="24"/>
                  <w:szCs w:val="24"/>
                </w:rPr>
                <w:t xml:space="preserve">θ) του άρθρου 7 του Κανονισμού (ΕΕ) 1303/2013 (Κανονιστικό Πλαίσιο Ευρωπαϊκών Διαρθρωτικών και Επενδυτικών Ταμείων για την προγραμματική περίοδο 2014 – 2020), σύμφωνα με το οποίο: </w:t>
              </w:r>
              <w:r w:rsidRPr="00E35F54">
                <w:rPr>
                  <w:rFonts w:asciiTheme="minorHAnsi" w:eastAsia="Cambria" w:hAnsiTheme="minorHAnsi" w:cs="Cambria"/>
                  <w:i/>
                  <w:sz w:val="24"/>
                  <w:szCs w:val="24"/>
                </w:rPr>
                <w:t xml:space="preserve">«[…] Τα κράτη μέλη και η Επιτροπή λαμβάνουν τα κατάλληλα μέτρα για να αποτρέψουν κάθε διάκριση εξαιτίας του φύλου, της φυλής ή της εθνοτικής καταγωγής, της θρησκείας ή των πεποιθήσεων, αναπηρίας, της ηλικίας ή του γενετήσιου προσανατολισμού κατά την εκπόνηση και υλοποίηση των προγραμμάτων. Ειδικότερα, η προσβασιμότητα για τα άτομα με αναπηρίες λαμβάνεται υπόψη σε όλα τα στάδια της προετοιμασίας και της εφαρμογής των προγραμμάτων [..]», </w:t>
              </w:r>
            </w:p>
            <w:p w:rsidR="004D460B" w:rsidRPr="00E35F54" w:rsidRDefault="004D460B" w:rsidP="00E35F54">
              <w:pPr>
                <w:spacing w:line="240" w:lineRule="auto"/>
                <w:rPr>
                  <w:rFonts w:asciiTheme="minorHAnsi" w:hAnsiTheme="minorHAnsi" w:cstheme="minorHAnsi"/>
                  <w:b/>
                  <w:bCs/>
                  <w:sz w:val="24"/>
                  <w:szCs w:val="24"/>
                  <w:u w:val="single"/>
                </w:rPr>
              </w:pPr>
              <w:r w:rsidRPr="00E35F54">
                <w:rPr>
                  <w:rFonts w:asciiTheme="minorHAnsi" w:hAnsiTheme="minorHAnsi" w:cstheme="minorHAnsi"/>
                  <w:b/>
                  <w:bCs/>
                  <w:sz w:val="24"/>
                  <w:szCs w:val="24"/>
                  <w:u w:val="single"/>
                </w:rPr>
                <w:t>η Ε.Σ.Α.μεΑ. προτείνει ανά άρθρο τα εξής:</w:t>
              </w:r>
            </w:p>
            <w:p w:rsidR="004D460B" w:rsidRPr="00E35F54" w:rsidRDefault="004D460B" w:rsidP="00E35F54">
              <w:pPr>
                <w:pStyle w:val="Default"/>
                <w:numPr>
                  <w:ilvl w:val="0"/>
                  <w:numId w:val="37"/>
                </w:numPr>
                <w:tabs>
                  <w:tab w:val="left" w:pos="284"/>
                </w:tabs>
                <w:ind w:left="142" w:hanging="142"/>
                <w:jc w:val="both"/>
                <w:rPr>
                  <w:rFonts w:asciiTheme="minorHAnsi" w:hAnsiTheme="minorHAnsi" w:cstheme="minorHAnsi"/>
                  <w:lang w:val="el-GR"/>
                </w:rPr>
              </w:pPr>
              <w:r w:rsidRPr="00E35F54">
                <w:rPr>
                  <w:rFonts w:asciiTheme="minorHAnsi" w:hAnsiTheme="minorHAnsi" w:cstheme="minorHAnsi"/>
                  <w:lang w:val="el-GR"/>
                </w:rPr>
                <w:t xml:space="preserve">Το άρθρο 3 </w:t>
              </w:r>
              <w:r w:rsidRPr="00E35F54">
                <w:rPr>
                  <w:rFonts w:asciiTheme="minorHAnsi" w:hAnsiTheme="minorHAnsi" w:cstheme="minorHAnsi"/>
                  <w:i/>
                  <w:lang w:val="el-GR"/>
                </w:rPr>
                <w:t>«Αρμοδιότητες οικονομικής επιτροπής δήμων και περιφερειών»</w:t>
              </w:r>
              <w:r w:rsidRPr="00E35F54">
                <w:rPr>
                  <w:rFonts w:asciiTheme="minorHAnsi" w:hAnsiTheme="minorHAnsi" w:cstheme="minorHAnsi"/>
                  <w:lang w:val="el-GR"/>
                </w:rPr>
                <w:t xml:space="preserve"> να συμπληρωθεί ως εξής </w:t>
              </w:r>
              <w:r w:rsidRPr="002A49F2">
                <w:rPr>
                  <w:rFonts w:asciiTheme="minorHAnsi" w:hAnsiTheme="minorHAnsi" w:cstheme="minorHAnsi"/>
                  <w:lang w:val="el-GR"/>
                </w:rPr>
                <w:t>(βλ. κείμενο με</w:t>
              </w:r>
              <w:r w:rsidRPr="002A49F2">
                <w:rPr>
                  <w:rFonts w:asciiTheme="minorHAnsi" w:hAnsiTheme="minorHAnsi" w:cstheme="minorHAnsi"/>
                  <w:bCs/>
                  <w:lang w:val="el-GR"/>
                </w:rPr>
                <w:t xml:space="preserve"> έντονη γραμματοσειρά</w:t>
              </w:r>
              <w:r w:rsidRPr="002A49F2">
                <w:rPr>
                  <w:rFonts w:asciiTheme="minorHAnsi" w:hAnsiTheme="minorHAnsi" w:cstheme="minorHAnsi"/>
                  <w:lang w:val="el-GR"/>
                </w:rPr>
                <w:t>):</w:t>
              </w:r>
              <w:r w:rsidRPr="00E35F54">
                <w:rPr>
                  <w:rFonts w:asciiTheme="minorHAnsi" w:hAnsiTheme="minorHAnsi" w:cstheme="minorHAnsi"/>
                  <w:lang w:val="el-GR"/>
                </w:rPr>
                <w:t xml:space="preserve"> </w:t>
              </w:r>
            </w:p>
            <w:p w:rsidR="004D460B" w:rsidRPr="00E35F54" w:rsidRDefault="004D460B" w:rsidP="00E35F54">
              <w:pPr>
                <w:pStyle w:val="Default"/>
                <w:rPr>
                  <w:rFonts w:asciiTheme="minorHAnsi" w:hAnsiTheme="minorHAnsi" w:cstheme="minorHAnsi"/>
                  <w:i/>
                  <w:iCs/>
                  <w:lang w:val="el-GR"/>
                </w:rPr>
              </w:pPr>
              <w:r w:rsidRPr="00E35F54">
                <w:rPr>
                  <w:rFonts w:asciiTheme="minorHAnsi" w:hAnsiTheme="minorHAnsi" w:cstheme="minorHAnsi"/>
                  <w:lang w:val="el-GR"/>
                </w:rPr>
                <w:t>-«</w:t>
              </w:r>
              <w:r w:rsidRPr="00E35F54">
                <w:rPr>
                  <w:rFonts w:asciiTheme="minorHAnsi" w:hAnsiTheme="minorHAnsi" w:cstheme="minorHAnsi"/>
                  <w:i/>
                  <w:iCs/>
                  <w:lang w:val="el-GR"/>
                </w:rPr>
                <w:t xml:space="preserve">1. Το άρθρο 72 του ν.3852/2010 αντικαθίσταται ως εξής: </w:t>
              </w:r>
            </w:p>
            <w:p w:rsidR="004D460B" w:rsidRPr="00E35F54" w:rsidRDefault="004D460B" w:rsidP="00E35F54">
              <w:pPr>
                <w:pStyle w:val="Default"/>
                <w:rPr>
                  <w:rFonts w:asciiTheme="minorHAnsi" w:hAnsiTheme="minorHAnsi" w:cstheme="minorHAnsi"/>
                  <w:i/>
                  <w:iCs/>
                  <w:lang w:val="el-GR"/>
                </w:rPr>
              </w:pPr>
              <w:r w:rsidRPr="00E35F54">
                <w:rPr>
                  <w:rFonts w:asciiTheme="minorHAnsi" w:hAnsiTheme="minorHAnsi" w:cstheme="minorHAnsi"/>
                  <w:i/>
                  <w:iCs/>
                  <w:lang w:val="el-GR"/>
                </w:rPr>
                <w:t>«Άρθρο 72 –“Αρμοδιότητες οικονομικής επιτροπής δήμων”</w:t>
              </w:r>
            </w:p>
            <w:p w:rsidR="004D460B" w:rsidRPr="00E35F54" w:rsidRDefault="004D460B" w:rsidP="00E35F54">
              <w:pPr>
                <w:pStyle w:val="a9"/>
                <w:numPr>
                  <w:ilvl w:val="0"/>
                  <w:numId w:val="39"/>
                </w:numPr>
                <w:spacing w:after="160" w:line="240" w:lineRule="auto"/>
                <w:ind w:left="284" w:hanging="284"/>
                <w:rPr>
                  <w:rFonts w:asciiTheme="minorHAnsi" w:hAnsiTheme="minorHAnsi" w:cstheme="minorHAnsi"/>
                  <w:i/>
                  <w:iCs/>
                  <w:sz w:val="24"/>
                  <w:szCs w:val="24"/>
                </w:rPr>
              </w:pPr>
              <w:r w:rsidRPr="00E35F54">
                <w:rPr>
                  <w:rFonts w:asciiTheme="minorHAnsi" w:hAnsiTheme="minorHAnsi" w:cstheme="minorHAnsi"/>
                  <w:i/>
                  <w:iCs/>
                  <w:sz w:val="24"/>
                  <w:szCs w:val="24"/>
                </w:rPr>
                <w:t>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w:t>
              </w:r>
            </w:p>
            <w:p w:rsidR="004D460B" w:rsidRPr="00E35F54" w:rsidRDefault="004D460B" w:rsidP="00E35F54">
              <w:pPr>
                <w:pStyle w:val="a9"/>
                <w:spacing w:line="240" w:lineRule="auto"/>
                <w:ind w:left="360"/>
                <w:rPr>
                  <w:rFonts w:asciiTheme="minorHAnsi" w:hAnsiTheme="minorHAnsi" w:cstheme="minorHAnsi"/>
                  <w:i/>
                  <w:iCs/>
                  <w:sz w:val="24"/>
                  <w:szCs w:val="24"/>
                </w:rPr>
              </w:pPr>
              <w:r w:rsidRPr="00E35F54">
                <w:rPr>
                  <w:rFonts w:asciiTheme="minorHAnsi" w:hAnsiTheme="minorHAnsi" w:cstheme="minorHAnsi"/>
                  <w:i/>
                  <w:iCs/>
                  <w:sz w:val="24"/>
                  <w:szCs w:val="24"/>
                </w:rPr>
                <w:t>α) [...]</w:t>
              </w:r>
            </w:p>
            <w:p w:rsidR="004D460B" w:rsidRPr="00E35F54" w:rsidRDefault="004D460B" w:rsidP="00E35F54">
              <w:pPr>
                <w:spacing w:line="240" w:lineRule="auto"/>
                <w:rPr>
                  <w:rFonts w:asciiTheme="minorHAnsi" w:hAnsiTheme="minorHAnsi" w:cstheme="minorHAnsi"/>
                  <w:i/>
                  <w:iCs/>
                  <w:sz w:val="24"/>
                  <w:szCs w:val="24"/>
                </w:rPr>
              </w:pPr>
              <w:r w:rsidRPr="00E35F54">
                <w:rPr>
                  <w:rFonts w:asciiTheme="minorHAnsi" w:hAnsiTheme="minorHAnsi" w:cstheme="minorHAnsi"/>
                  <w:b/>
                  <w:bCs/>
                  <w:i/>
                  <w:iCs/>
                  <w:sz w:val="24"/>
                  <w:szCs w:val="24"/>
                </w:rPr>
                <w:t xml:space="preserve">κδ) συνεργάζεται με το Σημείο Αναφοράς της παρ. 3 του άρθρου 71 του        ν.4488/2017,  για τη συμβατότητα του επιχειρησιακού προγράμματος, των τομεακών προγραμμάτων δράσης, της ηλεκτρονικής διακυβέρνησης, των κανονιστικών αποφάσεων, των όρων, διακηρύξεων και των συμβάσεων έργων, μελετών και υπηρεσιών του Δήμου των παραγράφων ε, στ, ιβ, ιη, ιθ του παρόντος άρθρου με το άρθρο 63 του ν. 4488/2017 περί καθολικού σχεδιασμού διοικητικών προϊόντων, περιβαλλόντων και υπηρεσιών και μεριμνά για την αποκατάσταση της προσβασιμότητας των κτιριακών και ηλεκτρονικών υποδομών του Δήμου στα άτομα με αναπηρία σύμφωνα με την ισχύουσα νομοθεσία. </w:t>
              </w:r>
              <w:r w:rsidRPr="00E35F54">
                <w:rPr>
                  <w:rFonts w:asciiTheme="minorHAnsi" w:hAnsiTheme="minorHAnsi" w:cstheme="minorHAnsi"/>
                  <w:i/>
                  <w:iCs/>
                  <w:sz w:val="24"/>
                  <w:szCs w:val="24"/>
                </w:rPr>
                <w:t xml:space="preserve">[...]». </w:t>
              </w:r>
            </w:p>
            <w:p w:rsidR="00730F2D" w:rsidRPr="00E35F54" w:rsidRDefault="00730F2D" w:rsidP="00E35F54">
              <w:pPr>
                <w:spacing w:line="240" w:lineRule="auto"/>
                <w:rPr>
                  <w:rFonts w:asciiTheme="minorHAnsi" w:hAnsiTheme="minorHAnsi" w:cstheme="minorHAnsi"/>
                  <w:i/>
                  <w:iCs/>
                  <w:sz w:val="24"/>
                  <w:szCs w:val="24"/>
                </w:rPr>
              </w:pPr>
              <w:r w:rsidRPr="00E35F54">
                <w:rPr>
                  <w:rFonts w:asciiTheme="minorHAnsi" w:hAnsiTheme="minorHAnsi" w:cstheme="minorHAnsi"/>
                  <w:b/>
                  <w:iCs/>
                  <w:sz w:val="24"/>
                  <w:szCs w:val="24"/>
                  <w:u w:val="single"/>
                </w:rPr>
                <w:t>Αιτιολόγηση:</w:t>
              </w:r>
              <w:r w:rsidRPr="00E35F54">
                <w:rPr>
                  <w:rFonts w:asciiTheme="minorHAnsi" w:hAnsiTheme="minorHAnsi" w:cstheme="minorHAnsi"/>
                  <w:i/>
                  <w:iCs/>
                  <w:sz w:val="24"/>
                  <w:szCs w:val="24"/>
                </w:rPr>
                <w:t xml:space="preserve"> </w:t>
              </w:r>
              <w:r w:rsidRPr="00E35F54">
                <w:rPr>
                  <w:rFonts w:asciiTheme="minorHAnsi" w:hAnsiTheme="minorHAnsi" w:cstheme="minorHAnsi"/>
                  <w:iCs/>
                  <w:sz w:val="24"/>
                  <w:szCs w:val="24"/>
                </w:rPr>
                <w:t xml:space="preserve">Η προαναφερθείσα πρότασή μας βασίζεται στις απαιτήσεις των άρθρων 61,62,63 και  71 (παρ.3) του ν.4488/2017. </w:t>
              </w:r>
            </w:p>
            <w:p w:rsidR="004D460B" w:rsidRPr="00E35F54" w:rsidRDefault="004D460B" w:rsidP="00E35F54">
              <w:pPr>
                <w:pStyle w:val="Default"/>
                <w:rPr>
                  <w:rFonts w:asciiTheme="minorHAnsi" w:hAnsiTheme="minorHAnsi" w:cstheme="minorHAnsi"/>
                  <w:i/>
                  <w:iCs/>
                  <w:lang w:val="el-GR"/>
                </w:rPr>
              </w:pPr>
              <w:r w:rsidRPr="00E35F54">
                <w:rPr>
                  <w:rFonts w:asciiTheme="minorHAnsi" w:hAnsiTheme="minorHAnsi" w:cstheme="minorHAnsi"/>
                  <w:i/>
                  <w:iCs/>
                  <w:color w:val="auto"/>
                  <w:lang w:val="el-GR"/>
                </w:rPr>
                <w:t>-</w:t>
              </w:r>
              <w:r w:rsidRPr="00E35F54">
                <w:rPr>
                  <w:rFonts w:asciiTheme="minorHAnsi" w:hAnsiTheme="minorHAnsi" w:cstheme="minorHAnsi"/>
                  <w:i/>
                  <w:iCs/>
                  <w:lang w:val="el-GR"/>
                </w:rPr>
                <w:t xml:space="preserve">«Το άρθρο 176 του ν. 3852/2010 αντικαθίσταται ως εξής : </w:t>
              </w:r>
            </w:p>
            <w:p w:rsidR="004D460B" w:rsidRPr="00E35F54" w:rsidRDefault="004D460B" w:rsidP="00E35F54">
              <w:pPr>
                <w:pStyle w:val="Default"/>
                <w:rPr>
                  <w:rFonts w:asciiTheme="minorHAnsi" w:hAnsiTheme="minorHAnsi" w:cstheme="minorHAnsi"/>
                  <w:i/>
                  <w:iCs/>
                  <w:lang w:val="el-GR"/>
                </w:rPr>
              </w:pPr>
              <w:r w:rsidRPr="00E35F54">
                <w:rPr>
                  <w:rFonts w:asciiTheme="minorHAnsi" w:hAnsiTheme="minorHAnsi" w:cstheme="minorHAnsi"/>
                  <w:i/>
                  <w:iCs/>
                  <w:lang w:val="el-GR"/>
                </w:rPr>
                <w:t>«Άρθρο 176 –“Αρμοδιότητες οικονομικής επιτροπής περιφερειών”</w:t>
              </w:r>
            </w:p>
            <w:p w:rsidR="004D460B" w:rsidRPr="00E35F54" w:rsidRDefault="004D460B" w:rsidP="00E35F54">
              <w:pPr>
                <w:spacing w:after="0" w:line="240" w:lineRule="auto"/>
                <w:rPr>
                  <w:rFonts w:asciiTheme="minorHAnsi" w:hAnsiTheme="minorHAnsi" w:cstheme="minorHAnsi"/>
                  <w:i/>
                  <w:iCs/>
                  <w:sz w:val="24"/>
                  <w:szCs w:val="24"/>
                </w:rPr>
              </w:pPr>
              <w:r w:rsidRPr="00E35F54">
                <w:rPr>
                  <w:rFonts w:asciiTheme="minorHAnsi" w:hAnsiTheme="minorHAnsi" w:cstheme="minorHAnsi"/>
                  <w:i/>
                  <w:iCs/>
                  <w:sz w:val="24"/>
                  <w:szCs w:val="24"/>
                </w:rPr>
                <w:t>1. Η οικονομική επιτροπή είναι συλλογικό όργανο και όργανο για τον έλεγχο και την παρακολούθηση της οικονομικής λειτουργίας της περιφέρειας. Ειδικότερα, έχει τις ακόλουθες αποφασιστικές, ελεγκτικές και γνωμοδοτικές αρμοδιότητες:</w:t>
              </w:r>
            </w:p>
            <w:p w:rsidR="004D460B" w:rsidRPr="00E35F54" w:rsidRDefault="004D460B" w:rsidP="00E35F54">
              <w:pPr>
                <w:spacing w:line="240" w:lineRule="auto"/>
                <w:rPr>
                  <w:rFonts w:asciiTheme="minorHAnsi" w:hAnsiTheme="minorHAnsi" w:cstheme="minorHAnsi"/>
                  <w:i/>
                  <w:iCs/>
                  <w:sz w:val="24"/>
                  <w:szCs w:val="24"/>
                </w:rPr>
              </w:pPr>
              <w:r w:rsidRPr="00E35F54">
                <w:rPr>
                  <w:rFonts w:asciiTheme="minorHAnsi" w:hAnsiTheme="minorHAnsi" w:cstheme="minorHAnsi"/>
                  <w:i/>
                  <w:iCs/>
                  <w:sz w:val="24"/>
                  <w:szCs w:val="24"/>
                </w:rPr>
                <w:t>Α) [...]</w:t>
              </w:r>
            </w:p>
            <w:p w:rsidR="004D460B" w:rsidRPr="00E35F54" w:rsidRDefault="004D460B" w:rsidP="00E35F54">
              <w:pPr>
                <w:spacing w:line="240" w:lineRule="auto"/>
                <w:rPr>
                  <w:rFonts w:asciiTheme="minorHAnsi" w:hAnsiTheme="minorHAnsi" w:cstheme="minorHAnsi"/>
                  <w:b/>
                  <w:bCs/>
                  <w:i/>
                  <w:iCs/>
                  <w:sz w:val="24"/>
                  <w:szCs w:val="24"/>
                </w:rPr>
              </w:pPr>
              <w:r w:rsidRPr="00E35F54">
                <w:rPr>
                  <w:rFonts w:asciiTheme="minorHAnsi" w:hAnsiTheme="minorHAnsi" w:cstheme="minorHAnsi"/>
                  <w:b/>
                  <w:bCs/>
                  <w:i/>
                  <w:iCs/>
                  <w:sz w:val="24"/>
                  <w:szCs w:val="24"/>
                </w:rPr>
                <w:lastRenderedPageBreak/>
                <w:t>κδ) έχει την ευθύνη, συνεργαζόμενη με το Σημείο Αναφοράς του άρθρου 71 του ν.4488/2017, για την συμβατότητα του επιχειρησιακού προγράμματος, των προγραμμάτων δράσης, της ηλεκτρονικής διακυβέρνησης, των κανονιστικών αποφάσεων, των όρων, διακηρύξεων και των συμβάσεων έργων, μελετών και υπηρεσιών της Περιφέρειας, των παραγράφων ε, στ, ιβ, ιη, ιθ του παρόντος άρθρου, με το άρθρο 63 του ν. 4488/2017 περί καθολικού σχεδιασμού διοικητικών προϊόντων, περιβαλλόντων και υπηρεσιών και μεριμνά για την αποκατάσταση της προσβασιμότητας των κτιριακών και ηλεκτρονικών υποδομών της Περιφέρειας στα άτομα με αναπηρία σύμφωνα με την ισχύουσα νομοθεσία».</w:t>
              </w:r>
            </w:p>
            <w:p w:rsidR="00730F2D" w:rsidRPr="00E35F54" w:rsidRDefault="00730F2D" w:rsidP="00E35F54">
              <w:pPr>
                <w:spacing w:line="240" w:lineRule="auto"/>
                <w:rPr>
                  <w:rFonts w:asciiTheme="minorHAnsi" w:hAnsiTheme="minorHAnsi" w:cstheme="minorHAnsi"/>
                  <w:i/>
                  <w:iCs/>
                  <w:sz w:val="24"/>
                  <w:szCs w:val="24"/>
                </w:rPr>
              </w:pPr>
              <w:r w:rsidRPr="00E35F54">
                <w:rPr>
                  <w:rFonts w:asciiTheme="minorHAnsi" w:hAnsiTheme="minorHAnsi" w:cstheme="minorHAnsi"/>
                  <w:b/>
                  <w:iCs/>
                  <w:sz w:val="24"/>
                  <w:szCs w:val="24"/>
                  <w:u w:val="single"/>
                </w:rPr>
                <w:t>Αιτιολόγηση:</w:t>
              </w:r>
              <w:r w:rsidRPr="00E35F54">
                <w:rPr>
                  <w:rFonts w:asciiTheme="minorHAnsi" w:hAnsiTheme="minorHAnsi" w:cstheme="minorHAnsi"/>
                  <w:i/>
                  <w:iCs/>
                  <w:sz w:val="24"/>
                  <w:szCs w:val="24"/>
                </w:rPr>
                <w:t xml:space="preserve"> </w:t>
              </w:r>
              <w:r w:rsidRPr="00E35F54">
                <w:rPr>
                  <w:rFonts w:asciiTheme="minorHAnsi" w:hAnsiTheme="minorHAnsi" w:cstheme="minorHAnsi"/>
                  <w:iCs/>
                  <w:sz w:val="24"/>
                  <w:szCs w:val="24"/>
                </w:rPr>
                <w:t xml:space="preserve">Η προαναφερθείσα πρότασή μας βασίζεται στις απαιτήσεις των άρθρων 61,62,63 και  71 (παρ.3) του ν.4488/2017. </w:t>
              </w:r>
            </w:p>
            <w:p w:rsidR="00AE7389" w:rsidRPr="00E35F54" w:rsidRDefault="004D460B" w:rsidP="00E35F54">
              <w:pPr>
                <w:spacing w:line="240" w:lineRule="auto"/>
                <w:rPr>
                  <w:rFonts w:asciiTheme="minorHAnsi" w:hAnsiTheme="minorHAnsi" w:cstheme="minorHAnsi"/>
                  <w:bCs/>
                  <w:iCs/>
                  <w:sz w:val="24"/>
                  <w:szCs w:val="24"/>
                </w:rPr>
              </w:pPr>
              <w:r w:rsidRPr="00E35F54">
                <w:rPr>
                  <w:rFonts w:asciiTheme="minorHAnsi" w:hAnsiTheme="minorHAnsi" w:cstheme="minorHAnsi"/>
                  <w:b/>
                  <w:bCs/>
                  <w:iCs/>
                  <w:sz w:val="24"/>
                  <w:szCs w:val="24"/>
                  <w:u w:val="single"/>
                </w:rPr>
                <w:t>Προσοχή:</w:t>
              </w:r>
              <w:r w:rsidRPr="00E35F54">
                <w:rPr>
                  <w:rFonts w:asciiTheme="minorHAnsi" w:hAnsiTheme="minorHAnsi" w:cstheme="minorHAnsi"/>
                  <w:b/>
                  <w:bCs/>
                  <w:i/>
                  <w:iCs/>
                  <w:sz w:val="24"/>
                  <w:szCs w:val="24"/>
                </w:rPr>
                <w:t xml:space="preserve"> </w:t>
              </w:r>
              <w:r w:rsidRPr="00E35F54">
                <w:rPr>
                  <w:rFonts w:asciiTheme="minorHAnsi" w:hAnsiTheme="minorHAnsi" w:cstheme="minorHAnsi"/>
                  <w:bCs/>
                  <w:iCs/>
                  <w:sz w:val="24"/>
                  <w:szCs w:val="24"/>
                </w:rPr>
                <w:t xml:space="preserve">Δεν υπάρχει εδάφιο με αρίθμηση κγ), ενώ στην παρ. 2 περιλαμβάνεται σχετική αναφορά σε αυτό. </w:t>
              </w:r>
            </w:p>
            <w:p w:rsidR="004D460B" w:rsidRPr="00E35F54" w:rsidRDefault="004D460B" w:rsidP="00E35F54">
              <w:pPr>
                <w:pStyle w:val="a9"/>
                <w:numPr>
                  <w:ilvl w:val="0"/>
                  <w:numId w:val="39"/>
                </w:numPr>
                <w:tabs>
                  <w:tab w:val="left" w:pos="284"/>
                </w:tabs>
                <w:spacing w:after="0" w:line="240" w:lineRule="auto"/>
                <w:ind w:hanging="720"/>
                <w:rPr>
                  <w:rFonts w:asciiTheme="minorHAnsi" w:hAnsiTheme="minorHAnsi" w:cstheme="minorHAnsi"/>
                  <w:sz w:val="24"/>
                  <w:szCs w:val="24"/>
                </w:rPr>
              </w:pPr>
              <w:r w:rsidRPr="00E35F54">
                <w:rPr>
                  <w:rFonts w:asciiTheme="minorHAnsi" w:hAnsiTheme="minorHAnsi" w:cstheme="minorHAnsi"/>
                  <w:sz w:val="24"/>
                  <w:szCs w:val="24"/>
                </w:rPr>
                <w:t xml:space="preserve">Στο άρθρο 5 </w:t>
              </w:r>
              <w:r w:rsidRPr="00E35F54">
                <w:rPr>
                  <w:rFonts w:asciiTheme="minorHAnsi" w:hAnsiTheme="minorHAnsi" w:cstheme="minorHAnsi"/>
                  <w:i/>
                  <w:sz w:val="24"/>
                  <w:szCs w:val="24"/>
                </w:rPr>
                <w:t>«Ρυθμίσεις θεμάτων ΟΤΑ»</w:t>
              </w:r>
              <w:r w:rsidRPr="00E35F54">
                <w:rPr>
                  <w:rFonts w:asciiTheme="minorHAnsi" w:hAnsiTheme="minorHAnsi" w:cstheme="minorHAnsi"/>
                  <w:sz w:val="24"/>
                  <w:szCs w:val="24"/>
                </w:rPr>
                <w:t xml:space="preserve"> να προστεθεί παρ. 20 ως ακολούθως: </w:t>
              </w:r>
            </w:p>
            <w:p w:rsidR="004D460B" w:rsidRPr="00E35F54" w:rsidRDefault="004D460B" w:rsidP="00E35F54">
              <w:pPr>
                <w:spacing w:after="0" w:line="240" w:lineRule="auto"/>
                <w:rPr>
                  <w:rFonts w:asciiTheme="minorHAnsi" w:hAnsiTheme="minorHAnsi" w:cstheme="minorHAnsi"/>
                  <w:i/>
                  <w:sz w:val="24"/>
                  <w:szCs w:val="24"/>
                </w:rPr>
              </w:pPr>
              <w:r w:rsidRPr="00E35F54">
                <w:rPr>
                  <w:rFonts w:asciiTheme="minorHAnsi" w:hAnsiTheme="minorHAnsi" w:cstheme="minorHAnsi"/>
                  <w:i/>
                  <w:sz w:val="24"/>
                  <w:szCs w:val="24"/>
                </w:rPr>
                <w:t>«Στην παρ. 1 του άρθρου 100 του ν.3852/2010  προστίθεται εδάφιο στ) ως ακολούθως:</w:t>
              </w:r>
            </w:p>
            <w:p w:rsidR="004D460B" w:rsidRPr="00E35F54" w:rsidRDefault="004D460B" w:rsidP="00E35F54">
              <w:pPr>
                <w:spacing w:after="0" w:line="240" w:lineRule="auto"/>
                <w:rPr>
                  <w:rFonts w:asciiTheme="minorHAnsi" w:hAnsiTheme="minorHAnsi" w:cstheme="minorHAnsi"/>
                  <w:i/>
                  <w:sz w:val="24"/>
                  <w:szCs w:val="24"/>
                </w:rPr>
              </w:pPr>
              <w:r w:rsidRPr="00E35F54">
                <w:rPr>
                  <w:rFonts w:asciiTheme="minorHAnsi" w:hAnsiTheme="minorHAnsi"/>
                  <w:i/>
                  <w:sz w:val="24"/>
                  <w:szCs w:val="24"/>
                </w:rPr>
                <w:t>«</w:t>
              </w:r>
              <w:r w:rsidRPr="00E35F54">
                <w:rPr>
                  <w:rFonts w:asciiTheme="minorHAnsi" w:hAnsiTheme="minorHAnsi"/>
                  <w:b/>
                  <w:i/>
                  <w:sz w:val="24"/>
                  <w:szCs w:val="24"/>
                </w:rPr>
                <w:t>στ. Οι ΟΤΑ α΄ και β΄ βαθμού δύνανται να συνάπτουν προγραμματικές διμερείς συμβάσεις συνεργασίας, για την προστασία και τη στήριξη ατόμων με αναπηρία με τους εξής συνεργαζόμενους φορείς, υπό την προϋπόθεση ότι όλοι είναι πιστοποιημένοι φορείς κοινωνικής φροντίδας: α) με την Εθνική Συνομοσπονδία Ατόμων με Αναπηρία (Ε.Σ.Α.μεΑ.), β) με εθνικές και περιφερειακές Ομοσπονδίες και Πανελλήνιες Οργανώσεις</w:t>
              </w:r>
              <w:r w:rsidR="00730F2D" w:rsidRPr="00E35F54">
                <w:rPr>
                  <w:rFonts w:asciiTheme="minorHAnsi" w:hAnsiTheme="minorHAnsi"/>
                  <w:b/>
                  <w:i/>
                  <w:sz w:val="24"/>
                  <w:szCs w:val="24"/>
                </w:rPr>
                <w:t>-</w:t>
              </w:r>
              <w:r w:rsidRPr="00E35F54">
                <w:rPr>
                  <w:rFonts w:asciiTheme="minorHAnsi" w:hAnsiTheme="minorHAnsi"/>
                  <w:b/>
                  <w:i/>
                  <w:sz w:val="24"/>
                  <w:szCs w:val="24"/>
                </w:rPr>
                <w:t xml:space="preserve"> μέλη της Ε.Σ.Α.μεΑ. καθώς και </w:t>
              </w:r>
              <w:r w:rsidR="00730F2D" w:rsidRPr="00E35F54">
                <w:rPr>
                  <w:rFonts w:asciiTheme="minorHAnsi" w:hAnsiTheme="minorHAnsi"/>
                  <w:b/>
                  <w:i/>
                  <w:sz w:val="24"/>
                  <w:szCs w:val="24"/>
                </w:rPr>
                <w:t xml:space="preserve">με </w:t>
              </w:r>
              <w:r w:rsidRPr="00E35F54">
                <w:rPr>
                  <w:rFonts w:asciiTheme="minorHAnsi" w:hAnsiTheme="minorHAnsi"/>
                  <w:b/>
                  <w:i/>
                  <w:sz w:val="24"/>
                  <w:szCs w:val="24"/>
                </w:rPr>
                <w:t>τα πρωτοβάθμια μέλη αυτών, γ) με  φορείς άλλων ευπαθών κοινωνικών ομάδων, εφόσον η έδρα ή το παράρτημα του συλλόγου ή του φορέα είναι εντός της χωρικής τους αρμοδιότητας. Οι συμβάσεις συνεργασίας αφορούν την εκτέλεση έργων ή την παροχή υπηρεσιών ή προμηθειών για τον σκοπό της προστασίας και της στήριξης ατόμων με αναπηρία και άλλων ευπαθών ομάδων του πληθυσμού και για την εξυπηρέτηση σκοπών σχετικά με τη λειτουργία των ανωτέρω οργανώσεων</w:t>
              </w:r>
              <w:r w:rsidRPr="00E35F54">
                <w:rPr>
                  <w:rFonts w:asciiTheme="minorHAnsi" w:hAnsiTheme="minorHAnsi"/>
                  <w:i/>
                  <w:sz w:val="24"/>
                  <w:szCs w:val="24"/>
                </w:rPr>
                <w:t xml:space="preserve">». </w:t>
              </w:r>
            </w:p>
            <w:p w:rsidR="004D460B" w:rsidRPr="00E35F54" w:rsidRDefault="004D460B" w:rsidP="00E35F54">
              <w:pPr>
                <w:spacing w:before="120" w:line="240" w:lineRule="auto"/>
                <w:rPr>
                  <w:rFonts w:asciiTheme="minorHAnsi" w:hAnsiTheme="minorHAnsi"/>
                  <w:sz w:val="24"/>
                  <w:szCs w:val="24"/>
                </w:rPr>
              </w:pPr>
              <w:r w:rsidRPr="00E35F54">
                <w:rPr>
                  <w:rFonts w:asciiTheme="minorHAnsi" w:hAnsiTheme="minorHAnsi" w:cstheme="minorHAnsi"/>
                  <w:b/>
                  <w:iCs/>
                  <w:sz w:val="24"/>
                  <w:szCs w:val="24"/>
                  <w:u w:val="single"/>
                </w:rPr>
                <w:t>Αιτιολόγηση:</w:t>
              </w:r>
              <w:r w:rsidRPr="00E35F54">
                <w:rPr>
                  <w:rFonts w:asciiTheme="minorHAnsi" w:hAnsiTheme="minorHAnsi" w:cstheme="minorHAnsi"/>
                  <w:i/>
                  <w:iCs/>
                  <w:sz w:val="24"/>
                  <w:szCs w:val="24"/>
                </w:rPr>
                <w:t xml:space="preserve"> </w:t>
              </w:r>
              <w:r w:rsidRPr="00E35F54">
                <w:rPr>
                  <w:rFonts w:asciiTheme="minorHAnsi" w:hAnsiTheme="minorHAnsi"/>
                  <w:sz w:val="24"/>
                  <w:szCs w:val="24"/>
                </w:rPr>
                <w:t>Στο άρθρο 100 του ν.3852/2010 αναφέρονται μόνο τα κοινωφελή ιδρύματα και προφανώς από παράλειψη δεν συμπεριλαμβάνονται τα πιστοποιημένα Ν.Π.Ι</w:t>
              </w:r>
              <w:r w:rsidR="00730F2D" w:rsidRPr="00E35F54">
                <w:rPr>
                  <w:rFonts w:asciiTheme="minorHAnsi" w:hAnsiTheme="minorHAnsi"/>
                  <w:sz w:val="24"/>
                  <w:szCs w:val="24"/>
                </w:rPr>
                <w:t>.Δ. μη κερδοσκοπικού χαρακτήρα - Σωματεία Ατόμων με Αναπηρία ή Γονέων Ατόμων με Α</w:t>
              </w:r>
              <w:r w:rsidRPr="00E35F54">
                <w:rPr>
                  <w:rFonts w:asciiTheme="minorHAnsi" w:hAnsiTheme="minorHAnsi"/>
                  <w:sz w:val="24"/>
                  <w:szCs w:val="24"/>
                </w:rPr>
                <w:t>ναπηρία, τα οποία παρέχουν υπηρεσίες κοινωνικής φροντίδας υψηλής ποιότητας και με σχετικά χαμηλό κόστος.</w:t>
              </w:r>
              <w:r w:rsidRPr="00E35F54">
                <w:rPr>
                  <w:rFonts w:asciiTheme="minorHAnsi" w:hAnsiTheme="minorHAnsi" w:cstheme="minorHAnsi"/>
                  <w:i/>
                  <w:iCs/>
                  <w:sz w:val="24"/>
                  <w:szCs w:val="24"/>
                </w:rPr>
                <w:t xml:space="preserve"> </w:t>
              </w:r>
              <w:r w:rsidRPr="00E35F54">
                <w:rPr>
                  <w:rFonts w:asciiTheme="minorHAnsi" w:hAnsiTheme="minorHAnsi" w:cstheme="minorHAnsi"/>
                  <w:iCs/>
                  <w:sz w:val="24"/>
                  <w:szCs w:val="24"/>
                </w:rPr>
                <w:t xml:space="preserve">Με την προαναφερθείσα συμπλήρωση αντιμετωπίζεται αυτή η </w:t>
              </w:r>
              <w:r w:rsidR="00730F2D" w:rsidRPr="00E35F54">
                <w:rPr>
                  <w:rFonts w:asciiTheme="minorHAnsi" w:hAnsiTheme="minorHAnsi" w:cstheme="minorHAnsi"/>
                  <w:iCs/>
                  <w:sz w:val="24"/>
                  <w:szCs w:val="24"/>
                </w:rPr>
                <w:t xml:space="preserve">μεγάλη </w:t>
              </w:r>
              <w:r w:rsidRPr="00E35F54">
                <w:rPr>
                  <w:rFonts w:asciiTheme="minorHAnsi" w:hAnsiTheme="minorHAnsi" w:cstheme="minorHAnsi"/>
                  <w:iCs/>
                  <w:sz w:val="24"/>
                  <w:szCs w:val="24"/>
                </w:rPr>
                <w:t>παράλειψη-αδικία</w:t>
              </w:r>
              <w:r w:rsidRPr="00E35F54">
                <w:rPr>
                  <w:rFonts w:asciiTheme="minorHAnsi" w:hAnsiTheme="minorHAnsi" w:cstheme="minorHAnsi"/>
                  <w:i/>
                  <w:iCs/>
                  <w:sz w:val="24"/>
                  <w:szCs w:val="24"/>
                </w:rPr>
                <w:t xml:space="preserve">, </w:t>
              </w:r>
              <w:r w:rsidRPr="00E35F54">
                <w:rPr>
                  <w:rFonts w:asciiTheme="minorHAnsi" w:hAnsiTheme="minorHAnsi" w:cstheme="minorHAnsi"/>
                  <w:iCs/>
                  <w:sz w:val="24"/>
                  <w:szCs w:val="24"/>
                </w:rPr>
                <w:t xml:space="preserve">δίνοντας τη δυνατότητα στους ως άνω φορείς </w:t>
              </w:r>
              <w:r w:rsidRPr="00E35F54">
                <w:rPr>
                  <w:rFonts w:asciiTheme="minorHAnsi" w:hAnsiTheme="minorHAnsi"/>
                  <w:sz w:val="24"/>
                  <w:szCs w:val="24"/>
                </w:rPr>
                <w:t xml:space="preserve">να υποβάλλουν προτάσεις στο πλαίσιο εφαρμογής του </w:t>
              </w:r>
              <w:r w:rsidR="00730F2D" w:rsidRPr="00E35F54">
                <w:rPr>
                  <w:rFonts w:asciiTheme="minorHAnsi" w:hAnsiTheme="minorHAnsi"/>
                  <w:sz w:val="24"/>
                  <w:szCs w:val="24"/>
                </w:rPr>
                <w:t xml:space="preserve">συγχρηματοδοτούμενων </w:t>
              </w:r>
              <w:r w:rsidRPr="00E35F54">
                <w:rPr>
                  <w:rFonts w:asciiTheme="minorHAnsi" w:hAnsiTheme="minorHAnsi"/>
                  <w:sz w:val="24"/>
                  <w:szCs w:val="24"/>
                </w:rPr>
                <w:t xml:space="preserve">από την Ευρωπαϊκή Ένωση προγραμμάτων. </w:t>
              </w:r>
            </w:p>
            <w:p w:rsidR="004D460B" w:rsidRPr="00E35F54" w:rsidRDefault="004D460B" w:rsidP="00E35F54">
              <w:pPr>
                <w:pStyle w:val="Default"/>
                <w:jc w:val="both"/>
                <w:rPr>
                  <w:rFonts w:asciiTheme="minorHAnsi" w:hAnsiTheme="minorHAnsi" w:cstheme="minorHAnsi"/>
                  <w:lang w:val="el-GR"/>
                </w:rPr>
              </w:pPr>
              <w:r w:rsidRPr="00E35F54">
                <w:rPr>
                  <w:rFonts w:asciiTheme="minorHAnsi" w:hAnsiTheme="minorHAnsi" w:cstheme="minorHAnsi"/>
                  <w:b/>
                  <w:lang w:val="el-GR"/>
                </w:rPr>
                <w:t>3.</w:t>
              </w:r>
              <w:r w:rsidRPr="00E35F54">
                <w:rPr>
                  <w:rFonts w:asciiTheme="minorHAnsi" w:hAnsiTheme="minorHAnsi" w:cstheme="minorHAnsi"/>
                  <w:lang w:val="el-GR"/>
                </w:rPr>
                <w:t xml:space="preserve"> Το άρθρο 9: </w:t>
              </w:r>
              <w:r w:rsidRPr="00E35F54">
                <w:rPr>
                  <w:rFonts w:asciiTheme="minorHAnsi" w:hAnsiTheme="minorHAnsi" w:cstheme="minorHAnsi"/>
                  <w:i/>
                  <w:lang w:val="el-GR"/>
                </w:rPr>
                <w:t xml:space="preserve">«Έγκριση του επιχειρησιακού προγράμματος» </w:t>
              </w:r>
              <w:r w:rsidRPr="00E35F54">
                <w:rPr>
                  <w:rFonts w:asciiTheme="minorHAnsi" w:hAnsiTheme="minorHAnsi" w:cstheme="minorHAnsi"/>
                  <w:lang w:val="el-GR"/>
                </w:rPr>
                <w:t xml:space="preserve">να συμπληρωθεί ως </w:t>
              </w:r>
              <w:r w:rsidR="00E35F54" w:rsidRPr="00E35F54">
                <w:rPr>
                  <w:rFonts w:asciiTheme="minorHAnsi" w:hAnsiTheme="minorHAnsi" w:cstheme="minorHAnsi"/>
                  <w:lang w:val="el-GR"/>
                </w:rPr>
                <w:t xml:space="preserve"> ακολούθως </w:t>
              </w:r>
              <w:r w:rsidRPr="002A49F2">
                <w:rPr>
                  <w:rFonts w:asciiTheme="minorHAnsi" w:hAnsiTheme="minorHAnsi" w:cstheme="minorHAnsi"/>
                  <w:lang w:val="el-GR"/>
                </w:rPr>
                <w:t>(βλ. κείμενο με</w:t>
              </w:r>
              <w:r w:rsidRPr="002A49F2">
                <w:rPr>
                  <w:rFonts w:asciiTheme="minorHAnsi" w:hAnsiTheme="minorHAnsi" w:cstheme="minorHAnsi"/>
                  <w:bCs/>
                  <w:lang w:val="el-GR"/>
                </w:rPr>
                <w:t xml:space="preserve"> έντονη γραμματοσειρά</w:t>
              </w:r>
              <w:r w:rsidRPr="002A49F2">
                <w:rPr>
                  <w:rFonts w:asciiTheme="minorHAnsi" w:hAnsiTheme="minorHAnsi" w:cstheme="minorHAnsi"/>
                  <w:lang w:val="el-GR"/>
                </w:rPr>
                <w:t>):</w:t>
              </w:r>
            </w:p>
            <w:p w:rsidR="004D460B" w:rsidRPr="00E35F54" w:rsidRDefault="004D460B" w:rsidP="00E35F54">
              <w:pPr>
                <w:pStyle w:val="Default"/>
                <w:jc w:val="both"/>
                <w:rPr>
                  <w:rFonts w:asciiTheme="minorHAnsi" w:hAnsiTheme="minorHAnsi" w:cstheme="minorHAnsi"/>
                  <w:i/>
                  <w:iCs/>
                  <w:lang w:val="el-GR"/>
                </w:rPr>
              </w:pPr>
              <w:r w:rsidRPr="00E35F54">
                <w:rPr>
                  <w:rFonts w:asciiTheme="minorHAnsi" w:hAnsiTheme="minorHAnsi" w:cstheme="minorHAnsi"/>
                  <w:i/>
                  <w:iCs/>
                  <w:lang w:val="el-GR"/>
                </w:rPr>
                <w:lastRenderedPageBreak/>
                <w:t xml:space="preserve">«Η συζήτηση και η ψήφιση του επιχειρησιακού προγράμματος των δήμων και των περιφερειών πραγματοποιείται σύμφωνα με το σχέδιο της εκτελεστικής επιτροπής και τις τυχόν εναλλακτικές προτάσεις επιχειρησιακού προγράμματος που κατατίθενται από τους επικεφαλής των παρατάξεων, </w:t>
              </w:r>
              <w:r w:rsidRPr="00E35F54">
                <w:rPr>
                  <w:rFonts w:asciiTheme="minorHAnsi" w:hAnsiTheme="minorHAnsi" w:cstheme="minorHAnsi"/>
                  <w:b/>
                  <w:bCs/>
                  <w:i/>
                  <w:iCs/>
                  <w:lang w:val="el-GR"/>
                </w:rPr>
                <w:t>τα οποία σε κάθε περίπτωση πρέπει να είναι απολύτως συμβατά με τις απαιτήσεις του άρθρου 63 του ν. 4488/2017 περί καθολικού σχεδιασμού διοικητικών προϊόντων, περιβαλλόντων και υπηρεσιών, άλλως δεν τίθενται σε ψήφιση.</w:t>
              </w:r>
              <w:r w:rsidRPr="00E35F54">
                <w:rPr>
                  <w:rFonts w:asciiTheme="minorHAnsi" w:hAnsiTheme="minorHAnsi" w:cstheme="minorHAnsi"/>
                  <w:i/>
                  <w:iCs/>
                  <w:lang w:val="el-GR"/>
                </w:rPr>
                <w:t xml:space="preserve"> Οι τυχόν εναλλακτικές προτάσεις συνοδεύονται από εισήγηση των αρμοδίων υπηρεσιών. Κατά τη σύνταξη των προτάσεων από τις ενδιαφερόμενες παρατάξεις, οι αρμόδιες υπηρεσίες του δήμου παρέχουν κάθε σχετικό στοιχείο. [...]»</w:t>
              </w:r>
            </w:p>
            <w:p w:rsidR="00AE7389" w:rsidRPr="00E35F54" w:rsidRDefault="00AE7389" w:rsidP="00E35F54">
              <w:pPr>
                <w:pStyle w:val="Default"/>
                <w:jc w:val="both"/>
                <w:rPr>
                  <w:rFonts w:asciiTheme="minorHAnsi" w:hAnsiTheme="minorHAnsi" w:cstheme="minorHAnsi"/>
                  <w:b/>
                  <w:lang w:val="el-GR"/>
                </w:rPr>
              </w:pPr>
            </w:p>
            <w:p w:rsidR="004D460B" w:rsidRPr="00E35F54" w:rsidRDefault="004D460B" w:rsidP="00E35F54">
              <w:pPr>
                <w:pStyle w:val="Default"/>
                <w:jc w:val="both"/>
                <w:rPr>
                  <w:rFonts w:asciiTheme="minorHAnsi" w:hAnsiTheme="minorHAnsi" w:cstheme="minorHAnsi"/>
                  <w:b/>
                  <w:lang w:val="el-GR"/>
                </w:rPr>
              </w:pPr>
              <w:r w:rsidRPr="00E35F54">
                <w:rPr>
                  <w:rFonts w:asciiTheme="minorHAnsi" w:hAnsiTheme="minorHAnsi" w:cstheme="minorHAnsi"/>
                  <w:b/>
                  <w:lang w:val="el-GR"/>
                </w:rPr>
                <w:t>4.</w:t>
              </w:r>
              <w:r w:rsidRPr="00E35F54">
                <w:rPr>
                  <w:rFonts w:asciiTheme="minorHAnsi" w:hAnsiTheme="minorHAnsi" w:cstheme="minorHAnsi"/>
                  <w:lang w:val="el-GR"/>
                </w:rPr>
                <w:t xml:space="preserve"> Στο άρθρο 13 να προστεθεί παρ. 5 ως ακολούθως</w:t>
              </w:r>
              <w:r w:rsidRPr="00E35F54">
                <w:rPr>
                  <w:rFonts w:asciiTheme="minorHAnsi" w:hAnsiTheme="minorHAnsi" w:cstheme="minorHAnsi"/>
                  <w:b/>
                  <w:lang w:val="el-GR"/>
                </w:rPr>
                <w:t>:</w:t>
              </w:r>
            </w:p>
            <w:p w:rsidR="004D460B" w:rsidRDefault="004D460B" w:rsidP="00E35F54">
              <w:pPr>
                <w:pStyle w:val="Default"/>
                <w:spacing w:after="240"/>
                <w:jc w:val="both"/>
                <w:rPr>
                  <w:rFonts w:asciiTheme="minorHAnsi" w:hAnsiTheme="minorHAnsi" w:cstheme="minorHAnsi"/>
                  <w:b/>
                  <w:bCs/>
                  <w:i/>
                  <w:iCs/>
                  <w:lang w:val="el-GR"/>
                </w:rPr>
              </w:pPr>
              <w:r w:rsidRPr="00E35F54">
                <w:rPr>
                  <w:rFonts w:asciiTheme="minorHAnsi" w:hAnsiTheme="minorHAnsi" w:cstheme="minorHAnsi"/>
                  <w:b/>
                  <w:bCs/>
                  <w:i/>
                  <w:iCs/>
                  <w:lang w:val="el-GR"/>
                </w:rPr>
                <w:t xml:space="preserve"> «5. Έως τις 31.12.2019 τίθεται προθεσμία στους παιδικούς, βρεφικούς και βρεφονηπιακούς σταθμούς να καταστούν προσβάσιμοι στα άτομα με αναπηρία, όπως το άρθρο 26 του ν.4067/2012-Νέος Οικοδομικός Κανονισμός επιβάλλει».</w:t>
              </w:r>
            </w:p>
            <w:p w:rsidR="00E35F54" w:rsidRPr="00E35F54" w:rsidRDefault="00E35F54" w:rsidP="00E35F54">
              <w:pPr>
                <w:pStyle w:val="Default"/>
                <w:spacing w:after="240"/>
                <w:jc w:val="both"/>
                <w:rPr>
                  <w:rFonts w:asciiTheme="minorHAnsi" w:hAnsiTheme="minorHAnsi" w:cstheme="minorHAnsi"/>
                  <w:bCs/>
                  <w:iCs/>
                  <w:u w:val="single"/>
                  <w:lang w:val="el-GR"/>
                </w:rPr>
              </w:pPr>
              <w:r w:rsidRPr="00E35F54">
                <w:rPr>
                  <w:rFonts w:asciiTheme="minorHAnsi" w:hAnsiTheme="minorHAnsi" w:cstheme="minorHAnsi"/>
                  <w:b/>
                  <w:bCs/>
                  <w:iCs/>
                  <w:u w:val="single"/>
                  <w:lang w:val="el-GR"/>
                </w:rPr>
                <w:t>Αιτιολόγηση:</w:t>
              </w:r>
              <w:r w:rsidRPr="00E35F54">
                <w:rPr>
                  <w:rFonts w:asciiTheme="minorHAnsi" w:hAnsiTheme="minorHAnsi" w:cstheme="minorHAnsi"/>
                  <w:bCs/>
                  <w:iCs/>
                  <w:u w:val="single"/>
                  <w:lang w:val="el-GR"/>
                </w:rPr>
                <w:t xml:space="preserve"> </w:t>
              </w:r>
              <w:r w:rsidRPr="00E35F54">
                <w:rPr>
                  <w:rFonts w:asciiTheme="minorHAnsi" w:hAnsiTheme="minorHAnsi" w:cstheme="minorHAnsi"/>
                  <w:bCs/>
                  <w:iCs/>
                  <w:lang w:val="el-GR"/>
                </w:rPr>
                <w:t>Με την προαναφερθείσα προτεινόμενη διάταξη</w:t>
              </w:r>
              <w:r>
                <w:rPr>
                  <w:rFonts w:asciiTheme="minorHAnsi" w:hAnsiTheme="minorHAnsi" w:cstheme="minorHAnsi"/>
                  <w:bCs/>
                  <w:iCs/>
                  <w:lang w:val="el-GR"/>
                </w:rPr>
                <w:t xml:space="preserve"> </w:t>
              </w:r>
              <w:r w:rsidR="00285091">
                <w:rPr>
                  <w:rFonts w:asciiTheme="minorHAnsi" w:hAnsiTheme="minorHAnsi" w:cstheme="minorHAnsi"/>
                  <w:bCs/>
                  <w:iCs/>
                  <w:lang w:val="el-GR"/>
                </w:rPr>
                <w:t xml:space="preserve">αντιμετωπίζεται </w:t>
              </w:r>
              <w:r>
                <w:rPr>
                  <w:rFonts w:asciiTheme="minorHAnsi" w:hAnsiTheme="minorHAnsi" w:cstheme="minorHAnsi"/>
                  <w:bCs/>
                  <w:iCs/>
                  <w:lang w:val="el-GR"/>
                </w:rPr>
                <w:t xml:space="preserve">ένα χρόνιο πρόβλημα που </w:t>
              </w:r>
              <w:r w:rsidR="00285091">
                <w:rPr>
                  <w:rFonts w:asciiTheme="minorHAnsi" w:hAnsiTheme="minorHAnsi" w:cstheme="minorHAnsi"/>
                  <w:bCs/>
                  <w:iCs/>
                  <w:lang w:val="el-GR"/>
                </w:rPr>
                <w:t xml:space="preserve">βιώνουν </w:t>
              </w:r>
              <w:r>
                <w:rPr>
                  <w:rFonts w:asciiTheme="minorHAnsi" w:hAnsiTheme="minorHAnsi" w:cstheme="minorHAnsi"/>
                  <w:bCs/>
                  <w:iCs/>
                  <w:lang w:val="el-GR"/>
                </w:rPr>
                <w:t>οι οικογένειες βρεφών και παιδιών με αναπηρ</w:t>
              </w:r>
              <w:r w:rsidR="001709A1">
                <w:rPr>
                  <w:rFonts w:asciiTheme="minorHAnsi" w:hAnsiTheme="minorHAnsi" w:cstheme="minorHAnsi"/>
                  <w:bCs/>
                  <w:iCs/>
                  <w:lang w:val="el-GR"/>
                </w:rPr>
                <w:t>ία</w:t>
              </w:r>
              <w:r>
                <w:rPr>
                  <w:rFonts w:asciiTheme="minorHAnsi" w:hAnsiTheme="minorHAnsi" w:cstheme="minorHAnsi"/>
                  <w:bCs/>
                  <w:iCs/>
                  <w:lang w:val="el-GR"/>
                </w:rPr>
                <w:t xml:space="preserve">. Η υποχρέωση των ως άνω σταθμών να καταστούν προσβάσιμοι σε γονείς, βρέφη/παιδιά και εργαζόμενους με αναπηρία απορρέει από το άρθρο 26 του ΝΟΚ καθώς και από την παρ. 1 του άρθρου 61 του ν.4488/2017. </w:t>
              </w:r>
            </w:p>
            <w:p w:rsidR="004D460B" w:rsidRPr="00E35F54" w:rsidRDefault="004D460B" w:rsidP="00E35F54">
              <w:pPr>
                <w:pStyle w:val="Default"/>
                <w:jc w:val="both"/>
                <w:rPr>
                  <w:rFonts w:asciiTheme="minorHAnsi" w:hAnsiTheme="minorHAnsi" w:cstheme="minorHAnsi"/>
                  <w:lang w:val="el-GR"/>
                </w:rPr>
              </w:pPr>
              <w:r w:rsidRPr="00E35F54">
                <w:rPr>
                  <w:rFonts w:asciiTheme="minorHAnsi" w:hAnsiTheme="minorHAnsi" w:cstheme="minorHAnsi"/>
                  <w:b/>
                  <w:lang w:val="el-GR"/>
                </w:rPr>
                <w:t>5.</w:t>
              </w:r>
              <w:r w:rsidR="00AE7389" w:rsidRPr="00E35F54">
                <w:rPr>
                  <w:rFonts w:asciiTheme="minorHAnsi" w:hAnsiTheme="minorHAnsi" w:cstheme="minorHAnsi"/>
                  <w:lang w:val="el-GR"/>
                </w:rPr>
                <w:t xml:space="preserve"> </w:t>
              </w:r>
              <w:r w:rsidR="00F262A3" w:rsidRPr="00E35F54">
                <w:rPr>
                  <w:rFonts w:asciiTheme="minorHAnsi" w:hAnsiTheme="minorHAnsi" w:cstheme="minorHAnsi"/>
                  <w:lang w:val="el-GR"/>
                </w:rPr>
                <w:t xml:space="preserve">Στο </w:t>
              </w:r>
              <w:r w:rsidRPr="00E35F54">
                <w:rPr>
                  <w:rFonts w:asciiTheme="minorHAnsi" w:hAnsiTheme="minorHAnsi" w:cstheme="minorHAnsi"/>
                  <w:lang w:val="el-GR"/>
                </w:rPr>
                <w:t xml:space="preserve">τέλος του Μέρους Α’ (Επείγουσες ρυθμίσεις του Υπουργείου Εσωτερικών) </w:t>
              </w:r>
              <w:r w:rsidR="00F262A3" w:rsidRPr="00E35F54">
                <w:rPr>
                  <w:rFonts w:asciiTheme="minorHAnsi" w:hAnsiTheme="minorHAnsi" w:cstheme="minorHAnsi"/>
                  <w:lang w:val="el-GR"/>
                </w:rPr>
                <w:t>να προστεθεί το παρακάτω άρθρο</w:t>
              </w:r>
              <w:r w:rsidRPr="00E35F54">
                <w:rPr>
                  <w:rFonts w:asciiTheme="minorHAnsi" w:hAnsiTheme="minorHAnsi" w:cstheme="minorHAnsi"/>
                  <w:lang w:val="el-GR"/>
                </w:rPr>
                <w:t xml:space="preserve">: </w:t>
              </w:r>
            </w:p>
            <w:p w:rsidR="004D460B" w:rsidRPr="00E35F54" w:rsidRDefault="004D460B" w:rsidP="00E35F54">
              <w:pPr>
                <w:pStyle w:val="Default"/>
                <w:rPr>
                  <w:rFonts w:asciiTheme="minorHAnsi" w:hAnsiTheme="minorHAnsi" w:cstheme="minorHAnsi"/>
                  <w:b/>
                  <w:bCs/>
                  <w:i/>
                  <w:iCs/>
                  <w:lang w:val="el-GR"/>
                </w:rPr>
              </w:pPr>
              <w:r w:rsidRPr="00E35F54">
                <w:rPr>
                  <w:rFonts w:asciiTheme="minorHAnsi" w:hAnsiTheme="minorHAnsi" w:cstheme="minorHAnsi"/>
                  <w:b/>
                  <w:bCs/>
                  <w:i/>
                  <w:iCs/>
                  <w:lang w:val="el-GR"/>
                </w:rPr>
                <w:t>«Άρθρο 17α</w:t>
              </w:r>
            </w:p>
            <w:p w:rsidR="004D460B" w:rsidRDefault="004D460B" w:rsidP="00E35F54">
              <w:pPr>
                <w:spacing w:after="0" w:line="240" w:lineRule="auto"/>
                <w:rPr>
                  <w:rFonts w:asciiTheme="minorHAnsi" w:hAnsiTheme="minorHAnsi" w:cstheme="minorHAnsi"/>
                  <w:b/>
                  <w:bCs/>
                  <w:i/>
                  <w:iCs/>
                  <w:sz w:val="24"/>
                  <w:szCs w:val="24"/>
                </w:rPr>
              </w:pPr>
              <w:r w:rsidRPr="00E35F54">
                <w:rPr>
                  <w:rFonts w:asciiTheme="minorHAnsi" w:hAnsiTheme="minorHAnsi" w:cstheme="minorHAnsi"/>
                  <w:b/>
                  <w:bCs/>
                  <w:i/>
                  <w:iCs/>
                  <w:sz w:val="24"/>
                  <w:szCs w:val="24"/>
                </w:rPr>
                <w:t xml:space="preserve">Για τον συντονισμό των Επιμέρους Σημείων Αναφοράς των Περιφερειών συστήνεται στην Ένωση Περιφερειών Υπηρεσία Ατόμων με Αναπηρία. Αντίστοιχα για τον συντονισμό των Επιμέρους Σημείων Αναφοράς των Δήμων, που υπάγονται σε αυτήν, συστήνεται σε κάθε Περιφερειακή Ένωση Δήμων (Π.Ε.Δ.) Υπηρεσία Ατόμων με Αναπηρία. Οι παραπάνω Υπηρεσίες παρακολουθούν και συντονίζουν τα Επιμέρους Σημεία Αναφοράς της αρμοδιότητάς τους, συγκεντρώνουν από αυτά και προωθούν </w:t>
              </w:r>
              <w:r w:rsidRPr="00E35F54">
                <w:rPr>
                  <w:rFonts w:asciiTheme="minorHAnsi" w:eastAsia="Calibri" w:hAnsiTheme="minorHAnsi" w:cstheme="minorHAnsi"/>
                  <w:b/>
                  <w:bCs/>
                  <w:i/>
                  <w:iCs/>
                  <w:sz w:val="24"/>
                  <w:szCs w:val="24"/>
                </w:rPr>
                <w:t xml:space="preserve">στο Κεντρικό Σημείο Αναφοράς του άρθρου 70 του ν.4488/2017 προτάσεις και νομοθετικές ρυθμίσεις βέλτιστης εφαρμογής της Σύμβασης των Ηνωμένων Εθνών για τα Δικαιώματα των Ατόμων με Αναπηρίες σε τοπικό επίπεδο, ετήσιες εκθέσεις προόδου και προωθούν δημόσιες διαβουλεύσεις για τα ως άνω θέματα στην περιοχή αρμοδιότητάς τους. </w:t>
              </w:r>
              <w:r w:rsidRPr="00E35F54">
                <w:rPr>
                  <w:rFonts w:asciiTheme="minorHAnsi" w:hAnsiTheme="minorHAnsi" w:cstheme="minorHAnsi"/>
                  <w:b/>
                  <w:bCs/>
                  <w:i/>
                  <w:iCs/>
                  <w:sz w:val="24"/>
                  <w:szCs w:val="24"/>
                </w:rPr>
                <w:t>Το Επιμέρους Σημείο Αναφοράς του Υπουργείου Εσωτερικών έχει και την ευθύνη του συντονισμού των Επιμέρους Σημείων Αναφοράς των Περιφερειών και των Δήμων».</w:t>
              </w:r>
            </w:p>
            <w:p w:rsidR="00E35F54" w:rsidRDefault="00E35F54" w:rsidP="00E35F54">
              <w:pPr>
                <w:spacing w:after="0" w:line="240" w:lineRule="auto"/>
                <w:rPr>
                  <w:rFonts w:asciiTheme="minorHAnsi" w:hAnsiTheme="minorHAnsi" w:cstheme="minorHAnsi"/>
                  <w:b/>
                  <w:bCs/>
                  <w:i/>
                  <w:iCs/>
                  <w:sz w:val="24"/>
                  <w:szCs w:val="24"/>
                </w:rPr>
              </w:pPr>
            </w:p>
            <w:p w:rsidR="004D460B" w:rsidRPr="00E35F54" w:rsidRDefault="00E35F54" w:rsidP="00E35F54">
              <w:pPr>
                <w:spacing w:after="0" w:line="240" w:lineRule="auto"/>
                <w:rPr>
                  <w:rFonts w:asciiTheme="minorHAnsi" w:hAnsiTheme="minorHAnsi" w:cstheme="minorHAnsi"/>
                  <w:b/>
                  <w:bCs/>
                  <w:i/>
                  <w:iCs/>
                  <w:sz w:val="24"/>
                  <w:szCs w:val="24"/>
                </w:rPr>
              </w:pPr>
              <w:r w:rsidRPr="001709A1">
                <w:rPr>
                  <w:rFonts w:asciiTheme="minorHAnsi" w:hAnsiTheme="minorHAnsi" w:cstheme="minorHAnsi"/>
                  <w:b/>
                  <w:bCs/>
                  <w:iCs/>
                  <w:sz w:val="24"/>
                  <w:szCs w:val="24"/>
                  <w:u w:val="single"/>
                </w:rPr>
                <w:t>Αιτιολόγηση:</w:t>
              </w:r>
              <w:r w:rsidR="001709A1">
                <w:rPr>
                  <w:rFonts w:asciiTheme="minorHAnsi" w:hAnsiTheme="minorHAnsi" w:cstheme="minorHAnsi"/>
                  <w:b/>
                  <w:bCs/>
                  <w:iCs/>
                  <w:sz w:val="24"/>
                  <w:szCs w:val="24"/>
                  <w:u w:val="single"/>
                </w:rPr>
                <w:t xml:space="preserve"> </w:t>
              </w:r>
              <w:r w:rsidR="001709A1" w:rsidRPr="001709A1">
                <w:rPr>
                  <w:rFonts w:asciiTheme="minorHAnsi" w:hAnsiTheme="minorHAnsi" w:cstheme="minorHAnsi"/>
                  <w:bCs/>
                  <w:iCs/>
                  <w:sz w:val="24"/>
                  <w:szCs w:val="24"/>
                </w:rPr>
                <w:t>Με την προαναφερθείσα προτεινόμενη διάταξη</w:t>
              </w:r>
              <w:r w:rsidR="001709A1" w:rsidRPr="001709A1">
                <w:rPr>
                  <w:rFonts w:asciiTheme="minorHAnsi" w:hAnsiTheme="minorHAnsi" w:cstheme="minorHAnsi"/>
                  <w:b/>
                  <w:bCs/>
                  <w:iCs/>
                  <w:sz w:val="24"/>
                  <w:szCs w:val="24"/>
                </w:rPr>
                <w:t xml:space="preserve"> </w:t>
              </w:r>
              <w:r w:rsidR="001709A1" w:rsidRPr="001709A1">
                <w:rPr>
                  <w:rFonts w:asciiTheme="minorHAnsi" w:hAnsiTheme="minorHAnsi" w:cstheme="minorHAnsi"/>
                  <w:bCs/>
                  <w:iCs/>
                  <w:sz w:val="24"/>
                  <w:szCs w:val="24"/>
                </w:rPr>
                <w:t>επιχειρε</w:t>
              </w:r>
              <w:r w:rsidR="001709A1">
                <w:rPr>
                  <w:rFonts w:asciiTheme="minorHAnsi" w:hAnsiTheme="minorHAnsi" w:cstheme="minorHAnsi"/>
                  <w:bCs/>
                  <w:iCs/>
                  <w:sz w:val="24"/>
                  <w:szCs w:val="24"/>
                </w:rPr>
                <w:t xml:space="preserve">ίται να επιτευχθεί καλλίτερος συντονισμός των Επιμέρους Σημείων Επαφής  (παρ.3, άρθρου 71 του ν.4488/2017) στις Περιφέρειες και τους Δήμους της χώρας. </w:t>
              </w:r>
            </w:p>
            <w:p w:rsidR="004D460B" w:rsidRPr="00E35F54" w:rsidRDefault="004D460B" w:rsidP="00E35F54">
              <w:pPr>
                <w:pStyle w:val="Default"/>
                <w:jc w:val="both"/>
                <w:rPr>
                  <w:rFonts w:asciiTheme="minorHAnsi" w:hAnsiTheme="minorHAnsi" w:cstheme="minorHAnsi"/>
                  <w:color w:val="auto"/>
                  <w:lang w:val="el-GR"/>
                </w:rPr>
              </w:pPr>
              <w:r w:rsidRPr="00E35F54">
                <w:rPr>
                  <w:rFonts w:asciiTheme="minorHAnsi" w:hAnsiTheme="minorHAnsi" w:cstheme="minorHAnsi"/>
                  <w:b/>
                  <w:color w:val="auto"/>
                  <w:lang w:val="el-GR"/>
                </w:rPr>
                <w:lastRenderedPageBreak/>
                <w:t>6.</w:t>
              </w:r>
              <w:r w:rsidRPr="00E35F54">
                <w:rPr>
                  <w:rFonts w:asciiTheme="minorHAnsi" w:hAnsiTheme="minorHAnsi" w:cstheme="minorHAnsi"/>
                  <w:color w:val="auto"/>
                  <w:lang w:val="el-GR"/>
                </w:rPr>
                <w:t xml:space="preserve"> Το άρθρο 21: </w:t>
              </w:r>
              <w:r w:rsidRPr="00E35F54">
                <w:rPr>
                  <w:rFonts w:asciiTheme="minorHAnsi" w:hAnsiTheme="minorHAnsi" w:cstheme="minorHAnsi"/>
                  <w:i/>
                  <w:color w:val="auto"/>
                  <w:lang w:val="el-GR"/>
                </w:rPr>
                <w:t>«Αυτοτελές τμήμα επικοινωνίας»</w:t>
              </w:r>
              <w:r w:rsidRPr="00E35F54">
                <w:rPr>
                  <w:rFonts w:asciiTheme="minorHAnsi" w:hAnsiTheme="minorHAnsi" w:cstheme="minorHAnsi"/>
                  <w:color w:val="auto"/>
                  <w:lang w:val="el-GR"/>
                </w:rPr>
                <w:t xml:space="preserve"> να συμπληρωθεί ως  ακολούθως </w:t>
              </w:r>
              <w:r w:rsidRPr="002A49F2">
                <w:rPr>
                  <w:rFonts w:asciiTheme="minorHAnsi" w:hAnsiTheme="minorHAnsi" w:cstheme="minorHAnsi"/>
                  <w:color w:val="auto"/>
                  <w:lang w:val="el-GR"/>
                </w:rPr>
                <w:t>(βλ. κείμενο με</w:t>
              </w:r>
              <w:r w:rsidRPr="002A49F2">
                <w:rPr>
                  <w:rFonts w:asciiTheme="minorHAnsi" w:hAnsiTheme="minorHAnsi" w:cstheme="minorHAnsi"/>
                  <w:bCs/>
                  <w:color w:val="auto"/>
                  <w:lang w:val="el-GR"/>
                </w:rPr>
                <w:t xml:space="preserve"> έντονη γραμματοσειρά</w:t>
              </w:r>
              <w:r w:rsidRPr="002A49F2">
                <w:rPr>
                  <w:rFonts w:asciiTheme="minorHAnsi" w:hAnsiTheme="minorHAnsi" w:cstheme="minorHAnsi"/>
                  <w:color w:val="auto"/>
                  <w:lang w:val="el-GR"/>
                </w:rPr>
                <w:t>):</w:t>
              </w:r>
            </w:p>
            <w:p w:rsidR="004D460B" w:rsidRPr="00E35F54" w:rsidRDefault="004D460B" w:rsidP="00E35F54">
              <w:pPr>
                <w:pStyle w:val="Default"/>
                <w:jc w:val="both"/>
                <w:rPr>
                  <w:rFonts w:asciiTheme="minorHAnsi" w:hAnsiTheme="minorHAnsi" w:cstheme="minorHAnsi"/>
                  <w:i/>
                  <w:iCs/>
                  <w:color w:val="auto"/>
                  <w:lang w:val="el-GR"/>
                </w:rPr>
              </w:pPr>
              <w:r w:rsidRPr="00E35F54">
                <w:rPr>
                  <w:rFonts w:asciiTheme="minorHAnsi" w:hAnsiTheme="minorHAnsi"/>
                  <w:b/>
                  <w:bCs/>
                  <w:color w:val="auto"/>
                  <w:lang w:val="el-GR"/>
                </w:rPr>
                <w:t>«</w:t>
              </w:r>
              <w:r w:rsidRPr="00E35F54">
                <w:rPr>
                  <w:rFonts w:asciiTheme="minorHAnsi" w:hAnsiTheme="minorHAnsi" w:cstheme="minorHAnsi"/>
                  <w:i/>
                  <w:iCs/>
                  <w:color w:val="auto"/>
                </w:rPr>
                <w:t>To</w:t>
              </w:r>
              <w:r w:rsidRPr="00E35F54">
                <w:rPr>
                  <w:rFonts w:asciiTheme="minorHAnsi" w:hAnsiTheme="minorHAnsi" w:cstheme="minorHAnsi"/>
                  <w:i/>
                  <w:iCs/>
                  <w:color w:val="auto"/>
                  <w:lang w:val="el-GR"/>
                </w:rPr>
                <w:t xml:space="preserve"> Αυτοτελές Τμήμα Επικοινωνίας είναι υπεύθυνο για: (α) την σύνταξη και εφαρμογή πλάνου επικοινωνίας για όλες τις πολιτικές και δράσεις της Γενικής Γραμματείας και τη διάχυση των θετικών συνεπειών τους στους πολίτες και την κοινωνία ευρύτερα </w:t>
              </w:r>
              <w:r w:rsidRPr="00E35F54">
                <w:rPr>
                  <w:rFonts w:asciiTheme="minorHAnsi" w:hAnsiTheme="minorHAnsi" w:cstheme="minorHAnsi"/>
                  <w:b/>
                  <w:bCs/>
                  <w:i/>
                  <w:iCs/>
                  <w:color w:val="auto"/>
                  <w:lang w:val="el-GR"/>
                </w:rPr>
                <w:t>με τρόπους προσβάσιμους σε όλους</w:t>
              </w:r>
              <w:r w:rsidRPr="00E35F54">
                <w:rPr>
                  <w:rFonts w:asciiTheme="minorHAnsi" w:hAnsiTheme="minorHAnsi" w:cstheme="minorHAnsi"/>
                  <w:i/>
                  <w:iCs/>
                  <w:color w:val="auto"/>
                  <w:lang w:val="el-GR"/>
                </w:rPr>
                <w:t xml:space="preserve">, (β)[...]». </w:t>
              </w:r>
            </w:p>
            <w:p w:rsidR="002A49F2" w:rsidRDefault="002A49F2" w:rsidP="002A49F2">
              <w:pPr>
                <w:pStyle w:val="Default"/>
                <w:jc w:val="both"/>
                <w:rPr>
                  <w:rFonts w:asciiTheme="minorHAnsi" w:hAnsiTheme="minorHAnsi" w:cstheme="minorHAnsi"/>
                  <w:b/>
                  <w:iCs/>
                  <w:u w:val="single"/>
                  <w:lang w:val="el-GR"/>
                </w:rPr>
              </w:pPr>
            </w:p>
            <w:p w:rsidR="002A49F2" w:rsidRDefault="002A49F2" w:rsidP="002A49F2">
              <w:pPr>
                <w:pStyle w:val="Default"/>
                <w:jc w:val="both"/>
                <w:rPr>
                  <w:rFonts w:asciiTheme="minorHAnsi" w:hAnsiTheme="minorHAnsi" w:cstheme="minorHAnsi"/>
                  <w:iCs/>
                  <w:lang w:val="el-GR"/>
                </w:rPr>
              </w:pPr>
              <w:r w:rsidRPr="00285091">
                <w:rPr>
                  <w:rFonts w:asciiTheme="minorHAnsi" w:hAnsiTheme="minorHAnsi" w:cstheme="minorHAnsi"/>
                  <w:b/>
                  <w:iCs/>
                  <w:u w:val="single"/>
                  <w:lang w:val="el-GR"/>
                </w:rPr>
                <w:t>Αιτιολόγηση</w:t>
              </w:r>
              <w:r w:rsidRPr="00285091">
                <w:rPr>
                  <w:rFonts w:asciiTheme="minorHAnsi" w:hAnsiTheme="minorHAnsi" w:cstheme="minorHAnsi"/>
                  <w:b/>
                  <w:iCs/>
                  <w:lang w:val="el-GR"/>
                </w:rPr>
                <w:t xml:space="preserve">: </w:t>
              </w:r>
              <w:r w:rsidRPr="00285091">
                <w:rPr>
                  <w:rFonts w:asciiTheme="minorHAnsi" w:hAnsiTheme="minorHAnsi" w:cstheme="minorHAnsi"/>
                  <w:iCs/>
                  <w:lang w:val="el-GR"/>
                </w:rPr>
                <w:t>η</w:t>
              </w:r>
              <w:r w:rsidRPr="00285091">
                <w:rPr>
                  <w:rFonts w:asciiTheme="minorHAnsi" w:hAnsiTheme="minorHAnsi" w:cstheme="minorHAnsi"/>
                  <w:b/>
                  <w:iCs/>
                  <w:lang w:val="el-GR"/>
                </w:rPr>
                <w:t xml:space="preserve"> </w:t>
              </w:r>
              <w:r w:rsidRPr="00285091">
                <w:rPr>
                  <w:rFonts w:asciiTheme="minorHAnsi" w:hAnsiTheme="minorHAnsi" w:cstheme="minorHAnsi"/>
                  <w:iCs/>
                  <w:lang w:val="el-GR"/>
                </w:rPr>
                <w:t xml:space="preserve">προαναφερθείσα πρότασή μας βασίζεται στις απαιτήσεις </w:t>
              </w:r>
              <w:r w:rsidRPr="00285091">
                <w:rPr>
                  <w:rFonts w:asciiTheme="minorHAnsi" w:hAnsiTheme="minorHAnsi"/>
                  <w:lang w:val="el-GR"/>
                </w:rPr>
                <w:t>των παρ. 7 και 8 του άρθρου 4 του ν.3979/2011</w:t>
              </w:r>
              <w:r>
                <w:rPr>
                  <w:rFonts w:asciiTheme="minorHAnsi" w:hAnsiTheme="minorHAnsi"/>
                  <w:lang w:val="el-GR"/>
                </w:rPr>
                <w:t xml:space="preserve"> και </w:t>
              </w:r>
              <w:r w:rsidRPr="00285091">
                <w:rPr>
                  <w:rFonts w:asciiTheme="minorHAnsi" w:hAnsiTheme="minorHAnsi" w:cstheme="minorHAnsi"/>
                  <w:iCs/>
                  <w:lang w:val="el-GR"/>
                </w:rPr>
                <w:t>των άρθρων 61,62,63 του</w:t>
              </w:r>
              <w:r>
                <w:rPr>
                  <w:rFonts w:asciiTheme="minorHAnsi" w:hAnsiTheme="minorHAnsi" w:cstheme="minorHAnsi"/>
                  <w:iCs/>
                  <w:lang w:val="el-GR"/>
                </w:rPr>
                <w:t xml:space="preserve"> ν.4488/2017. </w:t>
              </w:r>
            </w:p>
            <w:p w:rsidR="004D460B" w:rsidRPr="00E35F54" w:rsidRDefault="004D460B" w:rsidP="00E35F54">
              <w:pPr>
                <w:pStyle w:val="Default"/>
                <w:rPr>
                  <w:rFonts w:asciiTheme="minorHAnsi" w:hAnsiTheme="minorHAnsi" w:cstheme="minorHAnsi"/>
                  <w:i/>
                  <w:iCs/>
                  <w:color w:val="FF0000"/>
                  <w:lang w:val="el-GR"/>
                </w:rPr>
              </w:pPr>
            </w:p>
            <w:p w:rsidR="004D460B" w:rsidRDefault="004D460B" w:rsidP="00E35F54">
              <w:pPr>
                <w:pStyle w:val="Default"/>
                <w:jc w:val="both"/>
                <w:rPr>
                  <w:rFonts w:asciiTheme="minorHAnsi" w:hAnsiTheme="minorHAnsi" w:cstheme="minorHAnsi"/>
                  <w:color w:val="auto"/>
                  <w:lang w:val="el-GR"/>
                </w:rPr>
              </w:pPr>
              <w:r w:rsidRPr="00E35F54">
                <w:rPr>
                  <w:rFonts w:asciiTheme="minorHAnsi" w:hAnsiTheme="minorHAnsi" w:cstheme="minorHAnsi"/>
                  <w:b/>
                  <w:iCs/>
                  <w:color w:val="auto"/>
                  <w:lang w:val="el-GR"/>
                </w:rPr>
                <w:t>7.</w:t>
              </w:r>
              <w:r w:rsidR="001709A1">
                <w:rPr>
                  <w:rFonts w:asciiTheme="minorHAnsi" w:hAnsiTheme="minorHAnsi" w:cstheme="minorHAnsi"/>
                  <w:iCs/>
                  <w:color w:val="auto"/>
                  <w:lang w:val="el-GR"/>
                </w:rPr>
                <w:t xml:space="preserve"> Στο άρθρο 24</w:t>
              </w:r>
              <w:r w:rsidRPr="00E35F54">
                <w:rPr>
                  <w:rFonts w:asciiTheme="minorHAnsi" w:hAnsiTheme="minorHAnsi" w:cstheme="minorHAnsi"/>
                  <w:iCs/>
                  <w:color w:val="auto"/>
                  <w:lang w:val="el-GR"/>
                </w:rPr>
                <w:t xml:space="preserve"> </w:t>
              </w:r>
              <w:r w:rsidRPr="00E35F54">
                <w:rPr>
                  <w:rFonts w:asciiTheme="minorHAnsi" w:hAnsiTheme="minorHAnsi" w:cstheme="minorHAnsi"/>
                  <w:i/>
                  <w:iCs/>
                  <w:color w:val="auto"/>
                  <w:lang w:val="el-GR"/>
                </w:rPr>
                <w:t>«Διεύθυνση Υλοποίησης Ψηφιακών Πολιτικών»</w:t>
              </w:r>
              <w:r w:rsidR="00F262A3" w:rsidRPr="00E35F54">
                <w:rPr>
                  <w:rFonts w:asciiTheme="minorHAnsi" w:hAnsiTheme="minorHAnsi" w:cstheme="minorHAnsi"/>
                  <w:iCs/>
                  <w:color w:val="auto"/>
                  <w:lang w:val="el-GR"/>
                </w:rPr>
                <w:t xml:space="preserve">, </w:t>
              </w:r>
              <w:r w:rsidRPr="00E35F54">
                <w:rPr>
                  <w:rFonts w:asciiTheme="minorHAnsi" w:hAnsiTheme="minorHAnsi" w:cstheme="minorHAnsi"/>
                  <w:iCs/>
                  <w:color w:val="auto"/>
                  <w:lang w:val="el-GR"/>
                </w:rPr>
                <w:t xml:space="preserve">οι παρ. </w:t>
              </w:r>
              <w:r w:rsidR="001709A1">
                <w:rPr>
                  <w:rFonts w:asciiTheme="minorHAnsi" w:hAnsiTheme="minorHAnsi" w:cstheme="minorHAnsi"/>
                  <w:iCs/>
                  <w:color w:val="auto"/>
                  <w:lang w:val="el-GR"/>
                </w:rPr>
                <w:t xml:space="preserve">2, </w:t>
              </w:r>
              <w:r w:rsidRPr="00E35F54">
                <w:rPr>
                  <w:rFonts w:asciiTheme="minorHAnsi" w:hAnsiTheme="minorHAnsi" w:cstheme="minorHAnsi"/>
                  <w:iCs/>
                  <w:color w:val="auto"/>
                  <w:lang w:val="el-GR"/>
                </w:rPr>
                <w:t>4 και 5 να συμπληρωθούν</w:t>
              </w:r>
              <w:r w:rsidR="00EF5990">
                <w:rPr>
                  <w:rFonts w:asciiTheme="minorHAnsi" w:hAnsiTheme="minorHAnsi" w:cstheme="minorHAnsi"/>
                  <w:iCs/>
                  <w:color w:val="auto"/>
                  <w:lang w:val="el-GR"/>
                </w:rPr>
                <w:t>/τροποποιηθούν</w:t>
              </w:r>
              <w:r w:rsidRPr="00E35F54">
                <w:rPr>
                  <w:rFonts w:asciiTheme="minorHAnsi" w:hAnsiTheme="minorHAnsi" w:cstheme="minorHAnsi"/>
                  <w:iCs/>
                  <w:color w:val="auto"/>
                  <w:lang w:val="el-GR"/>
                </w:rPr>
                <w:t xml:space="preserve"> ως </w:t>
              </w:r>
              <w:r w:rsidRPr="002A49F2">
                <w:rPr>
                  <w:rFonts w:asciiTheme="minorHAnsi" w:hAnsiTheme="minorHAnsi" w:cstheme="minorHAnsi"/>
                  <w:iCs/>
                  <w:color w:val="auto"/>
                  <w:lang w:val="el-GR"/>
                </w:rPr>
                <w:t>ακολούθως</w:t>
              </w:r>
              <w:r w:rsidRPr="002A49F2">
                <w:rPr>
                  <w:rFonts w:asciiTheme="minorHAnsi" w:hAnsiTheme="minorHAnsi" w:cstheme="minorHAnsi"/>
                  <w:color w:val="auto"/>
                  <w:lang w:val="el-GR"/>
                </w:rPr>
                <w:t xml:space="preserve"> (βλ. κείμενο με</w:t>
              </w:r>
              <w:r w:rsidRPr="002A49F2">
                <w:rPr>
                  <w:rFonts w:asciiTheme="minorHAnsi" w:hAnsiTheme="minorHAnsi" w:cstheme="minorHAnsi"/>
                  <w:bCs/>
                  <w:color w:val="auto"/>
                  <w:lang w:val="el-GR"/>
                </w:rPr>
                <w:t xml:space="preserve"> έντονη γραμματοσειρά</w:t>
              </w:r>
              <w:r w:rsidRPr="002A49F2">
                <w:rPr>
                  <w:rFonts w:asciiTheme="minorHAnsi" w:hAnsiTheme="minorHAnsi" w:cstheme="minorHAnsi"/>
                  <w:color w:val="auto"/>
                  <w:lang w:val="el-GR"/>
                </w:rPr>
                <w:t>):</w:t>
              </w:r>
            </w:p>
            <w:p w:rsidR="001709A1" w:rsidRPr="001709A1" w:rsidRDefault="001709A1" w:rsidP="00E35F54">
              <w:pPr>
                <w:pStyle w:val="Default"/>
                <w:jc w:val="both"/>
                <w:rPr>
                  <w:rFonts w:asciiTheme="minorHAnsi" w:hAnsiTheme="minorHAnsi" w:cstheme="minorHAnsi"/>
                  <w:i/>
                  <w:color w:val="auto"/>
                  <w:lang w:val="el-GR"/>
                </w:rPr>
              </w:pPr>
              <w:r w:rsidRPr="001709A1">
                <w:rPr>
                  <w:rFonts w:asciiTheme="minorHAnsi" w:hAnsiTheme="minorHAnsi" w:cstheme="minorHAnsi"/>
                  <w:i/>
                  <w:color w:val="auto"/>
                  <w:lang w:val="el-GR"/>
                </w:rPr>
                <w:t xml:space="preserve">«2.Στο Τμήμα Παρακολούθησης Ψηφιακών Πολιτικών περιλαμβάνονται οι κάτωθι αρμοδιότητες: (α) η ενημέρωση από τους φορείς του δημοσίου τομέα για την πορεία σχεδιασμού και υλοποίησης των σχετικών δράσεων υλοποίησης της Ε.Ψ.Σ., όποτε αυτή ζητηθεί, (β) η καθοδήγηση για την ωρίμανση των εγκεκριμένων προς υλοποίηση έργων Τ.Π.Ε. και η επιβολή, σε επίπεδο απαιτήσεων και προδιαγραφών, των κανόνων και των πολιτικών διαλειτουργικότητας με τα υφιστάμενα συστήματα και η εφαρμογή προτύπων και διαδικασιών, </w:t>
              </w:r>
              <w:r w:rsidRPr="001709A1">
                <w:rPr>
                  <w:rFonts w:asciiTheme="minorHAnsi" w:hAnsiTheme="minorHAnsi" w:cstheme="minorHAnsi"/>
                  <w:b/>
                  <w:i/>
                  <w:color w:val="auto"/>
                  <w:lang w:val="el-GR"/>
                </w:rPr>
                <w:t>συμπεριλαμβανομένων των προτύπων προσβασιμότητας,</w:t>
              </w:r>
              <w:r w:rsidRPr="001709A1">
                <w:rPr>
                  <w:rFonts w:asciiTheme="minorHAnsi" w:hAnsiTheme="minorHAnsi" w:cstheme="minorHAnsi"/>
                  <w:i/>
                  <w:color w:val="auto"/>
                  <w:lang w:val="el-GR"/>
                </w:rPr>
                <w:t xml:space="preserve"> στις επιμέρους φάσεις του κύκλου ζωής τους, (γ) στην περίπτωση συγχρηματοδοτούμενων έργων και δράσεων Τ.Π.Ε., μετά την έγκρισή τους από τη Γ.Γ.Ψ.Α.Δ., […]»</w:t>
              </w:r>
            </w:p>
            <w:p w:rsidR="001709A1" w:rsidRDefault="001709A1" w:rsidP="001709A1">
              <w:pPr>
                <w:shd w:val="clear" w:color="auto" w:fill="FFFFFF"/>
                <w:spacing w:after="0" w:line="240" w:lineRule="auto"/>
                <w:rPr>
                  <w:rFonts w:ascii="Calibri" w:hAnsi="Calibri" w:cs="Calibri"/>
                  <w:b/>
                  <w:sz w:val="24"/>
                  <w:szCs w:val="24"/>
                  <w:u w:val="single"/>
                  <w:bdr w:val="none" w:sz="0" w:space="0" w:color="auto" w:frame="1"/>
                </w:rPr>
              </w:pPr>
            </w:p>
            <w:p w:rsidR="001709A1" w:rsidRPr="001709A1" w:rsidRDefault="001709A1" w:rsidP="001709A1">
              <w:pPr>
                <w:shd w:val="clear" w:color="auto" w:fill="FFFFFF"/>
                <w:spacing w:after="0" w:line="240" w:lineRule="auto"/>
                <w:rPr>
                  <w:rFonts w:ascii="Tahoma" w:hAnsi="Tahoma" w:cs="Tahoma"/>
                  <w:b/>
                  <w:sz w:val="24"/>
                  <w:szCs w:val="24"/>
                  <w:u w:val="single"/>
                </w:rPr>
              </w:pPr>
              <w:r w:rsidRPr="001709A1">
                <w:rPr>
                  <w:rFonts w:ascii="Calibri" w:hAnsi="Calibri" w:cs="Calibri"/>
                  <w:b/>
                  <w:sz w:val="24"/>
                  <w:szCs w:val="24"/>
                  <w:u w:val="single"/>
                  <w:bdr w:val="none" w:sz="0" w:space="0" w:color="auto" w:frame="1"/>
                </w:rPr>
                <w:t>Αιτιολόγηση:</w:t>
              </w:r>
              <w:r w:rsidRPr="007B3AB6">
                <w:rPr>
                  <w:rFonts w:ascii="Tahoma" w:hAnsi="Tahoma" w:cs="Tahoma"/>
                  <w:b/>
                  <w:sz w:val="24"/>
                  <w:szCs w:val="24"/>
                </w:rPr>
                <w:t xml:space="preserve"> </w:t>
              </w:r>
              <w:r w:rsidRPr="001709A1">
                <w:rPr>
                  <w:rFonts w:ascii="Calibri" w:hAnsi="Calibri"/>
                  <w:color w:val="auto"/>
                  <w:sz w:val="24"/>
                  <w:szCs w:val="24"/>
                </w:rPr>
                <w:t xml:space="preserve">Κρίνεται απαραίτητο να προβλέπεται ρητά ως αρμοδιότητα του </w:t>
              </w:r>
              <w:r w:rsidR="007B3AB6">
                <w:rPr>
                  <w:rFonts w:ascii="Calibri" w:hAnsi="Calibri"/>
                  <w:color w:val="auto"/>
                  <w:sz w:val="24"/>
                  <w:szCs w:val="24"/>
                </w:rPr>
                <w:t xml:space="preserve">Τμήματος </w:t>
              </w:r>
              <w:r w:rsidRPr="001709A1">
                <w:rPr>
                  <w:rFonts w:ascii="Calibri" w:hAnsi="Calibri"/>
                  <w:color w:val="auto"/>
                  <w:sz w:val="24"/>
                  <w:szCs w:val="24"/>
                </w:rPr>
                <w:t xml:space="preserve">Παρακολούθησης Ψηφιακών Πολιτικών η </w:t>
              </w:r>
              <w:r w:rsidRPr="001709A1">
                <w:rPr>
                  <w:rFonts w:ascii="Calibri" w:hAnsi="Calibri"/>
                  <w:color w:val="auto"/>
                  <w:sz w:val="24"/>
                  <w:szCs w:val="24"/>
                  <w:u w:val="single"/>
                </w:rPr>
                <w:t>καθοδήγηση</w:t>
              </w:r>
              <w:r w:rsidRPr="001709A1">
                <w:rPr>
                  <w:rFonts w:ascii="Calibri" w:hAnsi="Calibri"/>
                  <w:color w:val="auto"/>
                  <w:sz w:val="24"/>
                  <w:szCs w:val="24"/>
                </w:rPr>
                <w:t xml:space="preserve"> για την ωρίμανση των εγκεκριμένων προς υλοποίηση έργων Τ.Π.Ε. και η </w:t>
              </w:r>
              <w:r w:rsidRPr="001709A1">
                <w:rPr>
                  <w:rFonts w:ascii="Calibri" w:hAnsi="Calibri"/>
                  <w:color w:val="auto"/>
                  <w:sz w:val="24"/>
                  <w:szCs w:val="24"/>
                  <w:u w:val="single"/>
                </w:rPr>
                <w:t>επιβολή</w:t>
              </w:r>
              <w:r w:rsidRPr="001709A1">
                <w:rPr>
                  <w:rFonts w:ascii="Calibri" w:hAnsi="Calibri"/>
                  <w:color w:val="auto"/>
                  <w:sz w:val="24"/>
                  <w:szCs w:val="24"/>
                </w:rPr>
                <w:t>, σε επίπεδο απαιτήσεων και προδιαγραφών, της εφαρμογής των εν ισχύ προτύπων προσβασιμότητας.</w:t>
              </w:r>
            </w:p>
            <w:p w:rsidR="001709A1" w:rsidRPr="00E35F54" w:rsidRDefault="001709A1" w:rsidP="001709A1">
              <w:pPr>
                <w:pStyle w:val="Default"/>
                <w:jc w:val="both"/>
                <w:rPr>
                  <w:rFonts w:asciiTheme="minorHAnsi" w:hAnsiTheme="minorHAnsi" w:cstheme="minorHAnsi"/>
                  <w:color w:val="auto"/>
                  <w:lang w:val="el-GR"/>
                </w:rPr>
              </w:pPr>
            </w:p>
            <w:p w:rsidR="004D460B" w:rsidRPr="00E35F54" w:rsidRDefault="004D460B" w:rsidP="00E35F54">
              <w:pPr>
                <w:pStyle w:val="Default"/>
                <w:jc w:val="both"/>
                <w:rPr>
                  <w:rFonts w:asciiTheme="minorHAnsi" w:hAnsiTheme="minorHAnsi" w:cstheme="minorHAnsi"/>
                  <w:i/>
                  <w:color w:val="auto"/>
                  <w:lang w:val="el-GR"/>
                </w:rPr>
              </w:pPr>
              <w:r w:rsidRPr="00E35F54">
                <w:rPr>
                  <w:rFonts w:asciiTheme="minorHAnsi" w:hAnsiTheme="minorHAnsi" w:cstheme="minorHAnsi"/>
                  <w:i/>
                  <w:color w:val="auto"/>
                  <w:lang w:val="el-GR"/>
                </w:rPr>
                <w:t xml:space="preserve">«4.Στο Τμήμα Ψηφιακής Οικονομίας και Ψηφιακών Δεξιοτήτων περιλαμβάνονται οι κάτωθι αρμοδιότητες: (α) ο σχεδιασμός και η υλοποίηση εκπαιδευτικών προγράμματων Τ.Π.Ε. εντός της Γ.Γ.Ψ.Δ.Α.Δ. και εντός των φορέων στους οποίους εγκαθίστανται και λειτουργούν υποδομές, συστήματα και εφαρμογές Τ.Π.Ε., (β) η συνεργασία με το ΕΚΔΔΑ σε θέματα αρμοδιότητας της Γ.Γ.Ψ.Δ.Α.Δ. και η προς το ΕΚΔΔΑ </w:t>
              </w:r>
              <w:r w:rsidRPr="00E35F54">
                <w:rPr>
                  <w:rFonts w:asciiTheme="minorHAnsi" w:hAnsiTheme="minorHAnsi" w:cstheme="minorHAnsi"/>
                  <w:b/>
                  <w:i/>
                  <w:color w:val="auto"/>
                  <w:lang w:val="el-GR"/>
                </w:rPr>
                <w:t xml:space="preserve">και την Εθνική Συνομοσπονδία Ατόμων με Αναπηρία (Ε.Σ.Α.μεΑ). </w:t>
              </w:r>
              <w:r w:rsidRPr="00E35F54">
                <w:rPr>
                  <w:rFonts w:asciiTheme="minorHAnsi" w:hAnsiTheme="minorHAnsi" w:cstheme="minorHAnsi"/>
                  <w:i/>
                  <w:color w:val="auto"/>
                  <w:lang w:val="el-GR"/>
                </w:rPr>
                <w:t xml:space="preserve"> εισήγηση της οργάνωσης εκπαιδευτικών προγραμμάτων σχετικών με τις αρμοδιότητές τους [..]». </w:t>
              </w:r>
            </w:p>
            <w:p w:rsidR="00F262A3" w:rsidRPr="00E35F54" w:rsidRDefault="00F262A3" w:rsidP="00E35F54">
              <w:pPr>
                <w:pStyle w:val="Default"/>
                <w:jc w:val="both"/>
                <w:rPr>
                  <w:rFonts w:asciiTheme="minorHAnsi" w:hAnsiTheme="minorHAnsi" w:cstheme="minorHAnsi"/>
                  <w:i/>
                  <w:lang w:val="el-GR"/>
                </w:rPr>
              </w:pPr>
            </w:p>
            <w:p w:rsidR="004D460B" w:rsidRDefault="004D460B" w:rsidP="00E35F54">
              <w:pPr>
                <w:pStyle w:val="Default"/>
                <w:spacing w:after="240"/>
                <w:jc w:val="both"/>
                <w:rPr>
                  <w:rFonts w:asciiTheme="minorHAnsi" w:hAnsiTheme="minorHAnsi" w:cstheme="minorHAnsi"/>
                  <w:lang w:val="el-GR"/>
                </w:rPr>
              </w:pPr>
              <w:r w:rsidRPr="00E35F54">
                <w:rPr>
                  <w:rFonts w:asciiTheme="minorHAnsi" w:hAnsiTheme="minorHAnsi" w:cstheme="minorHAnsi"/>
                  <w:b/>
                  <w:u w:val="single"/>
                  <w:lang w:val="el-GR"/>
                </w:rPr>
                <w:t>Αιτιολόγηση:</w:t>
              </w:r>
              <w:r w:rsidRPr="00E35F54">
                <w:rPr>
                  <w:rFonts w:asciiTheme="minorHAnsi" w:hAnsiTheme="minorHAnsi" w:cstheme="minorHAnsi"/>
                  <w:lang w:val="el-GR"/>
                </w:rPr>
                <w:t xml:space="preserve"> Η προαναφερθείσα προτεινόμενη συμπλήρωση βασίζεται στην παρ. 1 του άρθρου 11 του ν.4591/2019, σύμφωνα με την οποία </w:t>
              </w:r>
              <w:r w:rsidRPr="00E35F54">
                <w:rPr>
                  <w:rFonts w:asciiTheme="minorHAnsi" w:hAnsiTheme="minorHAnsi" w:cstheme="minorHAnsi"/>
                  <w:i/>
                  <w:lang w:val="el-GR"/>
                </w:rPr>
                <w:t xml:space="preserve">«Οι οργανισμοί του </w:t>
              </w:r>
              <w:r w:rsidRPr="00E35F54">
                <w:rPr>
                  <w:rFonts w:asciiTheme="minorHAnsi" w:hAnsiTheme="minorHAnsi" w:cstheme="minorHAnsi"/>
                  <w:i/>
                  <w:lang w:val="el-GR"/>
                </w:rPr>
                <w:lastRenderedPageBreak/>
                <w:t>δημόσιου τομέα μεριμνούν για την κατάρτιση και την επιμόρφωση του προσωπικού τους σε θέματα προσβασιμότητας των δικτυακών τόπων και των εφαρμογών για φορητές συσκευές. Η εκπόνηση, η διαχείριση και ο συντονισμός προγραμμάτων κατάρτισης και επιμόρφωσης του προηγούμενου εδαφίου διενεργούνται από το Εθνικό Κέντρο Δημόσιας Διοίκησης και Αυτοδιοίκησης (Ε.Κ.Δ.Δ.Α.), σε συνεργασία με την Ε.Σ.Α.μεΑ., ύστερα από σχετικό αίτημα οργανισμού του δημόσιου τομέα.</w:t>
              </w:r>
              <w:r w:rsidR="001709A1">
                <w:rPr>
                  <w:rFonts w:asciiTheme="minorHAnsi" w:hAnsiTheme="minorHAnsi" w:cstheme="minorHAnsi"/>
                  <w:i/>
                  <w:lang w:val="el-GR"/>
                </w:rPr>
                <w:t xml:space="preserve"> […]</w:t>
              </w:r>
              <w:r w:rsidRPr="00E35F54">
                <w:rPr>
                  <w:rFonts w:asciiTheme="minorHAnsi" w:hAnsiTheme="minorHAnsi" w:cstheme="minorHAnsi"/>
                  <w:lang w:val="el-GR"/>
                </w:rPr>
                <w:t>».</w:t>
              </w:r>
            </w:p>
            <w:p w:rsidR="007B3AB6" w:rsidRPr="007B3AB6" w:rsidRDefault="007B3AB6" w:rsidP="007B3AB6">
              <w:pPr>
                <w:pStyle w:val="Default"/>
                <w:spacing w:after="240"/>
                <w:jc w:val="both"/>
                <w:rPr>
                  <w:rFonts w:asciiTheme="minorHAnsi" w:hAnsiTheme="minorHAnsi" w:cstheme="minorHAnsi"/>
                  <w:i/>
                  <w:lang w:val="el-GR"/>
                </w:rPr>
              </w:pPr>
              <w:r w:rsidRPr="007B3AB6">
                <w:rPr>
                  <w:rFonts w:asciiTheme="minorHAnsi" w:hAnsiTheme="minorHAnsi" w:cstheme="minorHAnsi"/>
                  <w:i/>
                  <w:lang w:val="el-GR"/>
                </w:rPr>
                <w:t xml:space="preserve">«5.Στο </w:t>
              </w:r>
              <w:r w:rsidRPr="00EF5990">
                <w:rPr>
                  <w:rFonts w:asciiTheme="minorHAnsi" w:hAnsiTheme="minorHAnsi" w:cstheme="minorHAnsi"/>
                  <w:b/>
                  <w:i/>
                  <w:strike/>
                  <w:lang w:val="el-GR"/>
                </w:rPr>
                <w:t>Τμήμα Προσβασιμότητας</w:t>
              </w:r>
              <w:r w:rsidRPr="007B3AB6">
                <w:rPr>
                  <w:rFonts w:asciiTheme="minorHAnsi" w:hAnsiTheme="minorHAnsi" w:cstheme="minorHAnsi"/>
                  <w:i/>
                  <w:lang w:val="el-GR"/>
                </w:rPr>
                <w:t xml:space="preserve"> </w:t>
              </w:r>
              <w:r w:rsidR="00EF5990" w:rsidRPr="00EF5990">
                <w:rPr>
                  <w:rFonts w:asciiTheme="minorHAnsi" w:hAnsiTheme="minorHAnsi" w:cstheme="minorHAnsi"/>
                  <w:b/>
                  <w:i/>
                  <w:lang w:val="el-GR"/>
                </w:rPr>
                <w:t>Τμήμα Προσβασιμότητας και Ηλεκτρονικής Ένταξης</w:t>
              </w:r>
              <w:r w:rsidR="00EF5990">
                <w:rPr>
                  <w:rFonts w:asciiTheme="minorHAnsi" w:hAnsiTheme="minorHAnsi" w:cstheme="minorHAnsi"/>
                  <w:i/>
                  <w:lang w:val="el-GR"/>
                </w:rPr>
                <w:t xml:space="preserve"> </w:t>
              </w:r>
              <w:r w:rsidRPr="007B3AB6">
                <w:rPr>
                  <w:rFonts w:asciiTheme="minorHAnsi" w:hAnsiTheme="minorHAnsi" w:cstheme="minorHAnsi"/>
                  <w:i/>
                  <w:lang w:val="el-GR"/>
                </w:rPr>
                <w:t xml:space="preserve">περιλαμβάνονται οι κάτωθι αρμοδιότητες: (α) η παρακολούθηση της εφαρμογής πολιτικών ηλεκτρονικής προσβασιμότητας, σε εθνικό, ευρωπαϊκό και διεθνές επίπεδο και η συνεργασία με διεθνείς οργανισμούς και όργανα ή υπηρεσίες της Ευρωπαϊκής Ένωσης ή άλλων κρατών για την προώθηση της ηλεκτρονικής προσβασιμότητας, τόσο της υλικοτεχνικής υποδομής και των ηλεκτρονικών υπηρεσιών, όσο και του </w:t>
              </w:r>
              <w:r w:rsidRPr="007B3AB6">
                <w:rPr>
                  <w:rFonts w:asciiTheme="minorHAnsi" w:hAnsiTheme="minorHAnsi" w:cstheme="minorHAnsi"/>
                  <w:b/>
                  <w:bCs/>
                  <w:i/>
                  <w:lang w:val="el-GR"/>
                </w:rPr>
                <w:t xml:space="preserve">ηλεκτρονικού </w:t>
              </w:r>
              <w:r w:rsidRPr="007B3AB6">
                <w:rPr>
                  <w:rFonts w:asciiTheme="minorHAnsi" w:hAnsiTheme="minorHAnsi" w:cstheme="minorHAnsi"/>
                  <w:i/>
                  <w:lang w:val="el-GR"/>
                </w:rPr>
                <w:t xml:space="preserve">περιεχομένου </w:t>
              </w:r>
              <w:r w:rsidRPr="007B3AB6">
                <w:rPr>
                  <w:rFonts w:asciiTheme="minorHAnsi" w:hAnsiTheme="minorHAnsi" w:cstheme="minorHAnsi"/>
                  <w:b/>
                  <w:bCs/>
                  <w:i/>
                  <w:lang w:val="el-GR"/>
                </w:rPr>
                <w:t>(ενσωματωμένου ή/και προς μετάπτωση)</w:t>
              </w:r>
              <w:r w:rsidRPr="007B3AB6">
                <w:rPr>
                  <w:rFonts w:asciiTheme="minorHAnsi" w:hAnsiTheme="minorHAnsi" w:cstheme="minorHAnsi"/>
                  <w:i/>
                  <w:lang w:val="el-GR"/>
                </w:rPr>
                <w:t>, καθώς και τη</w:t>
              </w:r>
              <w:r w:rsidRPr="007B3AB6">
                <w:rPr>
                  <w:rFonts w:asciiTheme="minorHAnsi" w:hAnsiTheme="minorHAnsi" w:cstheme="minorHAnsi"/>
                  <w:b/>
                  <w:bCs/>
                  <w:i/>
                  <w:lang w:val="el-GR"/>
                </w:rPr>
                <w:t>ν</w:t>
              </w:r>
              <w:r w:rsidRPr="007B3AB6">
                <w:rPr>
                  <w:rFonts w:asciiTheme="minorHAnsi" w:hAnsiTheme="minorHAnsi" w:cstheme="minorHAnsi"/>
                  <w:i/>
                  <w:lang w:val="el-GR"/>
                </w:rPr>
                <w:t xml:space="preserve"> συμβατότητα των Τ.Π.Ε. </w:t>
              </w:r>
              <w:r w:rsidRPr="007B3AB6">
                <w:rPr>
                  <w:rFonts w:asciiTheme="minorHAnsi" w:hAnsiTheme="minorHAnsi" w:cstheme="minorHAnsi"/>
                  <w:b/>
                  <w:bCs/>
                  <w:i/>
                  <w:lang w:val="el-GR"/>
                </w:rPr>
                <w:t>και των εφαρμογών τους</w:t>
              </w:r>
              <w:r w:rsidRPr="007B3AB6">
                <w:rPr>
                  <w:rFonts w:asciiTheme="minorHAnsi" w:hAnsiTheme="minorHAnsi" w:cstheme="minorHAnsi"/>
                  <w:i/>
                  <w:lang w:val="el-GR"/>
                </w:rPr>
                <w:t xml:space="preserve"> με τις υποστηρικτικές τεχνολογίες που χρησιμοποιούν τα άτομα με αναπηρία καθώς και άλλες </w:t>
              </w:r>
              <w:r w:rsidRPr="00EF5990">
                <w:rPr>
                  <w:rFonts w:asciiTheme="minorHAnsi" w:hAnsiTheme="minorHAnsi" w:cstheme="minorHAnsi"/>
                  <w:b/>
                  <w:bCs/>
                  <w:i/>
                  <w:strike/>
                  <w:lang w:val="el-GR"/>
                </w:rPr>
                <w:t>ευαίσθητες</w:t>
              </w:r>
              <w:r w:rsidRPr="007B3AB6">
                <w:rPr>
                  <w:rFonts w:asciiTheme="minorHAnsi" w:hAnsiTheme="minorHAnsi" w:cstheme="minorHAnsi"/>
                  <w:b/>
                  <w:bCs/>
                  <w:i/>
                  <w:lang w:val="el-GR"/>
                </w:rPr>
                <w:t xml:space="preserve"> </w:t>
              </w:r>
              <w:r w:rsidRPr="007B3AB6">
                <w:rPr>
                  <w:rFonts w:asciiTheme="minorHAnsi" w:hAnsiTheme="minorHAnsi" w:cstheme="minorHAnsi"/>
                  <w:i/>
                  <w:lang w:val="el-GR"/>
                </w:rPr>
                <w:t xml:space="preserve">ομάδες πληθυσμού, (β) η παρακολούθηση της εφαρμογής του άρθρου 9 του ν. 4074/2012 «Προσβασιμότητα» της Σύμβασης για τα Δικαιώματα των Ατόμων με Αναπηρία του ΟΗΕ (Α’ 88) ως προς τις Τ.Π.Ε. και η ενημέρωση του σημείου αναφοράς για την παρακολούθηση της εφαρμογής της Σύμβασης και του συντονιστικού μηχανισμού για τη διευκόλυνση των σχετικών με αυτήν δράσεων, </w:t>
              </w:r>
              <w:r w:rsidRPr="007B3AB6">
                <w:rPr>
                  <w:rFonts w:asciiTheme="minorHAnsi" w:hAnsiTheme="minorHAnsi" w:cstheme="minorHAnsi"/>
                  <w:b/>
                  <w:bCs/>
                  <w:i/>
                  <w:lang w:val="el-GR"/>
                </w:rPr>
                <w:t xml:space="preserve">(γ) η παρακολούθηση της εφαρμογής του ν. 4591/2019 «Ενσωμάτωση στην ελληνική νομοθεσία: α) της Οδηγίας (ΕΕ) 2016/2102 του Ευρωπαϊκού Κοινοβουλίου και του Συμβουλίου, της 26ης Οκτωβρίου 2016, για την προσβασιμότητα των ιστότοπων και των εφαρμογών για φορητές συσκευές των οργανισμών του δημόσιου τομέα και β) του άρθρου 1 της Οδηγίας (ΕΕ) 2017/2455 του Συμβουλίου της 5ης Δεκεμβρίου 2017» υποστηρίζοντας τις επιμέρους δομές του κράτους και παρέχοντας συμβουλευτική υποστήριξη στους οργανισμούς του δημόσιου τομέα, </w:t>
              </w:r>
              <w:r w:rsidRPr="007B3AB6">
                <w:rPr>
                  <w:rFonts w:asciiTheme="minorHAnsi" w:hAnsiTheme="minorHAnsi" w:cstheme="minorHAnsi"/>
                  <w:i/>
                  <w:lang w:val="el-GR"/>
                </w:rPr>
                <w:t>(</w:t>
              </w:r>
              <w:r w:rsidRPr="007B3AB6">
                <w:rPr>
                  <w:rFonts w:asciiTheme="minorHAnsi" w:hAnsiTheme="minorHAnsi" w:cstheme="minorHAnsi"/>
                  <w:b/>
                  <w:bCs/>
                  <w:i/>
                  <w:lang w:val="el-GR"/>
                </w:rPr>
                <w:t>δ</w:t>
              </w:r>
              <w:r w:rsidRPr="007B3AB6">
                <w:rPr>
                  <w:rFonts w:asciiTheme="minorHAnsi" w:hAnsiTheme="minorHAnsi" w:cstheme="minorHAnsi"/>
                  <w:i/>
                  <w:lang w:val="el-GR"/>
                </w:rPr>
                <w:t xml:space="preserve">) η ανάπτυξη μεθοδολογίας πιστοποίησης και μηχανισμού παρακολούθησης της εφαρμογής του τηρουμένου επιπέδου ηλεκτρονικής προσβασιμότητας των υπηρεσιών και εφαρμογών ηλεκτρονικής διακυβέρνησης και η πραγματοποίηση ελέγχων ως προς την εφαρμογή των τεχνικών προδιαγραφών ηλεκτρονικής προσβασιμότητας στα ψηφιακά έργα του Δημοσίου και η πιστοποίηση του τηρούμενου επιπέδου ηλεκτρονικής προσβασιμότητας των υπηρεσιών και εφαρμογών ηλεκτρονικής διακυβέρνησης βάσει των προδιαγραφών που ορίζει ο </w:t>
              </w:r>
              <w:r w:rsidRPr="007B3AB6">
                <w:rPr>
                  <w:rFonts w:asciiTheme="minorHAnsi" w:hAnsiTheme="minorHAnsi" w:cstheme="minorHAnsi"/>
                  <w:b/>
                  <w:bCs/>
                  <w:i/>
                  <w:lang w:val="el-GR"/>
                </w:rPr>
                <w:t xml:space="preserve">ν. 4591/2019 καθώς και </w:t>
              </w:r>
              <w:r w:rsidRPr="007B3AB6">
                <w:rPr>
                  <w:rFonts w:asciiTheme="minorHAnsi" w:hAnsiTheme="minorHAnsi" w:cstheme="minorHAnsi"/>
                  <w:i/>
                  <w:lang w:val="el-GR"/>
                </w:rPr>
                <w:t xml:space="preserve">το Παράρτημα Ι Ενότητα 7 «Προσβασιμότητα», Κ.Υ. 49 και Κ.Π. 27 της υπουργικής απόφασης Φ.40.4/1/989 «Κύρωση Πλαισίου Παροχής Υπηρεσιών Ηλεκτρονικής Διακυβέρνησης» (Β’ 1301), (δ) η αξιολόγηση της αποτελεσματικότητας της Ε.Ψ.Σ. ως προς την εφαρμογή της ηλεκτρονικής προσβασιμότητας με στόχο την ικανοποίηση των αναγκών των πολιτών και καταναλωτών με αναπηρία ή </w:t>
              </w:r>
              <w:r w:rsidRPr="007B3AB6">
                <w:rPr>
                  <w:rFonts w:asciiTheme="minorHAnsi" w:hAnsiTheme="minorHAnsi" w:cstheme="minorHAnsi"/>
                  <w:b/>
                  <w:bCs/>
                  <w:i/>
                  <w:lang w:val="el-GR"/>
                </w:rPr>
                <w:t>άλλων ομάδων χρηστών υποστηρικτικών τεχνολογιών</w:t>
              </w:r>
              <w:r w:rsidRPr="007B3AB6">
                <w:rPr>
                  <w:rFonts w:asciiTheme="minorHAnsi" w:hAnsiTheme="minorHAnsi" w:cstheme="minorHAnsi"/>
                  <w:i/>
                  <w:lang w:val="el-GR"/>
                </w:rPr>
                <w:t xml:space="preserve"> και η εισήγηση της λήψης των απαραίτητων μέτρων τα </w:t>
              </w:r>
              <w:r w:rsidRPr="007B3AB6">
                <w:rPr>
                  <w:rFonts w:asciiTheme="minorHAnsi" w:hAnsiTheme="minorHAnsi" w:cstheme="minorHAnsi"/>
                  <w:i/>
                  <w:lang w:val="el-GR"/>
                </w:rPr>
                <w:lastRenderedPageBreak/>
                <w:t xml:space="preserve">οποία προτείνει προς ένταξη στο Ε.Ψ.Σ. ενσωματώνοντας τα αποτελέσματα των ελέγχων, (ε) η συνεργασία με την Εθνική Συνομοσπονδία Ατόμων με Αναπηρία (Ε.Σ.Α.με.Α.) και άλλους αρμόδιους φορείς, προκειμένου να ενημερώνεται για τα προβλήματα που αντιμετωπίζουν οι πολίτες και καταναλωτές με αναπηρία ή άλλες </w:t>
              </w:r>
              <w:r w:rsidRPr="00EF5990">
                <w:rPr>
                  <w:rFonts w:asciiTheme="minorHAnsi" w:hAnsiTheme="minorHAnsi" w:cstheme="minorHAnsi"/>
                  <w:b/>
                  <w:bCs/>
                  <w:i/>
                  <w:strike/>
                  <w:lang w:val="el-GR"/>
                </w:rPr>
                <w:t>ευαίσθητες</w:t>
              </w:r>
              <w:r w:rsidRPr="007B3AB6">
                <w:rPr>
                  <w:rFonts w:asciiTheme="minorHAnsi" w:hAnsiTheme="minorHAnsi" w:cstheme="minorHAnsi"/>
                  <w:i/>
                  <w:lang w:val="el-GR"/>
                </w:rPr>
                <w:t xml:space="preserve"> ομάδες </w:t>
              </w:r>
              <w:r w:rsidRPr="00EF5990">
                <w:rPr>
                  <w:rFonts w:asciiTheme="minorHAnsi" w:hAnsiTheme="minorHAnsi" w:cstheme="minorHAnsi"/>
                  <w:b/>
                  <w:bCs/>
                  <w:i/>
                  <w:strike/>
                  <w:lang w:val="el-GR"/>
                </w:rPr>
                <w:t>πληθυσμού</w:t>
              </w:r>
              <w:r w:rsidRPr="007B3AB6">
                <w:rPr>
                  <w:rFonts w:asciiTheme="minorHAnsi" w:hAnsiTheme="minorHAnsi" w:cstheme="minorHAnsi"/>
                  <w:i/>
                  <w:lang w:val="el-GR"/>
                </w:rPr>
                <w:t xml:space="preserve"> </w:t>
              </w:r>
              <w:r w:rsidRPr="007B3AB6">
                <w:rPr>
                  <w:rFonts w:asciiTheme="minorHAnsi" w:hAnsiTheme="minorHAnsi" w:cstheme="minorHAnsi"/>
                  <w:b/>
                  <w:bCs/>
                  <w:i/>
                  <w:lang w:val="el-GR"/>
                </w:rPr>
                <w:t>χρηστών υποστηρικτικών τεχνολογιών</w:t>
              </w:r>
              <w:r w:rsidRPr="007B3AB6">
                <w:rPr>
                  <w:rFonts w:asciiTheme="minorHAnsi" w:hAnsiTheme="minorHAnsi" w:cstheme="minorHAnsi"/>
                  <w:i/>
                  <w:lang w:val="el-GR"/>
                </w:rPr>
                <w:t xml:space="preserve"> από τις ηλεκτρονικές υπηρεσίες του Δημοσίου και τα προϊόντα και τις ηλεκτρονικές υπηρεσίες του». </w:t>
              </w:r>
            </w:p>
            <w:p w:rsidR="007B3AB6" w:rsidRDefault="00EF5990" w:rsidP="00285091">
              <w:pPr>
                <w:pStyle w:val="Default"/>
                <w:jc w:val="both"/>
                <w:rPr>
                  <w:rFonts w:asciiTheme="minorHAnsi" w:hAnsiTheme="minorHAnsi" w:cstheme="minorHAnsi"/>
                  <w:b/>
                  <w:u w:val="single"/>
                  <w:lang w:val="el-GR"/>
                </w:rPr>
              </w:pPr>
              <w:r w:rsidRPr="00EF5990">
                <w:rPr>
                  <w:rFonts w:asciiTheme="minorHAnsi" w:hAnsiTheme="minorHAnsi" w:cstheme="minorHAnsi"/>
                  <w:b/>
                  <w:u w:val="single"/>
                  <w:lang w:val="el-GR"/>
                </w:rPr>
                <w:t>Αιτιολόγηση:</w:t>
              </w:r>
              <w:r w:rsidR="00285091" w:rsidRPr="00285091">
                <w:rPr>
                  <w:rFonts w:asciiTheme="minorHAnsi" w:hAnsiTheme="minorHAnsi" w:cstheme="minorHAnsi"/>
                  <w:b/>
                  <w:lang w:val="el-GR"/>
                </w:rPr>
                <w:t xml:space="preserve"> </w:t>
              </w:r>
              <w:r w:rsidRPr="00EF5990">
                <w:rPr>
                  <w:rFonts w:asciiTheme="minorHAnsi" w:hAnsiTheme="minorHAnsi" w:cstheme="minorHAnsi"/>
                  <w:lang w:val="el-GR"/>
                </w:rPr>
                <w:t xml:space="preserve">(α) Ορθά προβλέπεται </w:t>
              </w:r>
              <w:r w:rsidRPr="00EF5990">
                <w:rPr>
                  <w:rFonts w:asciiTheme="minorHAnsi" w:hAnsiTheme="minorHAnsi" w:cstheme="minorHAnsi"/>
                  <w:i/>
                  <w:lang w:val="el-GR"/>
                </w:rPr>
                <w:t>«προώθηση της ηλεκτρονικής προσβασιμότητας»</w:t>
              </w:r>
              <w:r w:rsidRPr="00EF5990">
                <w:rPr>
                  <w:rFonts w:asciiTheme="minorHAnsi" w:hAnsiTheme="minorHAnsi" w:cstheme="minorHAnsi"/>
                  <w:lang w:val="el-GR"/>
                </w:rPr>
                <w:t xml:space="preserve"> και στο «περιεχόμενο», όμως κρίνεται σημαντικό να προσδιορισθεί ότι αφορά σε ηλεκτρονικό περιεχόμενο, είτε είναι ενσ</w:t>
              </w:r>
              <w:r>
                <w:rPr>
                  <w:rFonts w:asciiTheme="minorHAnsi" w:hAnsiTheme="minorHAnsi" w:cstheme="minorHAnsi"/>
                  <w:lang w:val="el-GR"/>
                </w:rPr>
                <w:t xml:space="preserve">ωματωμένο στις εφαρμογές (π.χ. </w:t>
              </w:r>
              <w:r w:rsidRPr="00EF5990">
                <w:rPr>
                  <w:rFonts w:asciiTheme="minorHAnsi" w:hAnsiTheme="minorHAnsi" w:cstheme="minorHAnsi"/>
                  <w:lang w:val="el-GR"/>
                </w:rPr>
                <w:t>HTML περιεχόμενο), είτε περιλαμβάνεται σε αυτές με τη μορφή ηλεκτρονικών αρχείων/εγγράφων προς μετάπτωση (π.χ., σε μορ</w:t>
              </w:r>
              <w:r w:rsidR="00285091">
                <w:rPr>
                  <w:rFonts w:asciiTheme="minorHAnsi" w:hAnsiTheme="minorHAnsi" w:cstheme="minorHAnsi"/>
                  <w:lang w:val="el-GR"/>
                </w:rPr>
                <w:t xml:space="preserve">φή προσβάσιμου PDF, Word κ.λπ.), </w:t>
              </w:r>
              <w:r w:rsidRPr="00EF5990">
                <w:rPr>
                  <w:rFonts w:asciiTheme="minorHAnsi" w:hAnsiTheme="minorHAnsi" w:cstheme="minorHAnsi"/>
                  <w:lang w:val="el-GR"/>
                </w:rPr>
                <w:t xml:space="preserve">(β) Η έννοια </w:t>
              </w:r>
              <w:r w:rsidRPr="00EF5990">
                <w:rPr>
                  <w:rFonts w:asciiTheme="minorHAnsi" w:hAnsiTheme="minorHAnsi" w:cstheme="minorHAnsi"/>
                  <w:i/>
                  <w:lang w:val="el-GR"/>
                </w:rPr>
                <w:t>«ευαίσθητες ομάδες πληθυσμού»</w:t>
              </w:r>
              <w:r w:rsidRPr="00EF5990">
                <w:rPr>
                  <w:rFonts w:asciiTheme="minorHAnsi" w:hAnsiTheme="minorHAnsi" w:cstheme="minorHAnsi"/>
                  <w:lang w:val="el-GR"/>
                </w:rPr>
                <w:t xml:space="preserve"> είναι γενική και αόριστη, η οποία χρησιμοποιείται στο πλαίσιο κοινωνικών πολιτικών (και προσδιορίζεται αναλυτικά κατονομάζοντας τις εν λόγω ομάδες). Στην περίπτωση των ΤΠΕ και των εφαρμογών τους, στο πλαίσιο της ηλεκτρονικής προσβασιμότητας, το ζήτημα είναι να καλυφθούν οι ανάγκες</w:t>
              </w:r>
              <w:r w:rsidR="00285091">
                <w:rPr>
                  <w:rFonts w:asciiTheme="minorHAnsi" w:hAnsiTheme="minorHAnsi" w:cstheme="minorHAnsi"/>
                  <w:lang w:val="el-GR"/>
                </w:rPr>
                <w:t xml:space="preserve"> πρόσβασης και αλληλεπίδρασης (</w:t>
              </w:r>
              <w:r w:rsidR="00285091">
                <w:rPr>
                  <w:rFonts w:asciiTheme="minorHAnsi" w:hAnsiTheme="minorHAnsi" w:cstheme="minorHAnsi"/>
                </w:rPr>
                <w:t>i</w:t>
              </w:r>
              <w:r w:rsidRPr="00EF5990">
                <w:rPr>
                  <w:rFonts w:asciiTheme="minorHAnsi" w:hAnsiTheme="minorHAnsi" w:cstheme="minorHAnsi"/>
                  <w:lang w:val="el-GR"/>
                </w:rPr>
                <w:t>) για διάφορες κατηγορίες χρηστών (χρηστών με αναπηρία, χρηστών υποστηρικ</w:t>
              </w:r>
              <w:r w:rsidR="00285091">
                <w:rPr>
                  <w:rFonts w:asciiTheme="minorHAnsi" w:hAnsiTheme="minorHAnsi" w:cstheme="minorHAnsi"/>
                  <w:lang w:val="el-GR"/>
                </w:rPr>
                <w:t>τικών τεχνολογιών, κ.λπ.) και (ii</w:t>
              </w:r>
              <w:r w:rsidRPr="00EF5990">
                <w:rPr>
                  <w:rFonts w:asciiTheme="minorHAnsi" w:hAnsiTheme="minorHAnsi" w:cstheme="minorHAnsi"/>
                  <w:lang w:val="el-GR"/>
                </w:rPr>
                <w:t>) για διάφορα πλαίσια χρήσης (αργές συνδέσεις, παλαιά λειτου</w:t>
              </w:r>
              <w:r w:rsidR="00285091">
                <w:rPr>
                  <w:rFonts w:asciiTheme="minorHAnsi" w:hAnsiTheme="minorHAnsi" w:cstheme="minorHAnsi"/>
                  <w:lang w:val="el-GR"/>
                </w:rPr>
                <w:t>ργικά και φυλλομετρητές, κ.λπ.),</w:t>
              </w:r>
              <w:r w:rsidR="00285091" w:rsidRPr="00285091">
                <w:rPr>
                  <w:rFonts w:asciiTheme="minorHAnsi" w:hAnsiTheme="minorHAnsi" w:cstheme="minorHAnsi"/>
                  <w:lang w:val="el-GR"/>
                </w:rPr>
                <w:t xml:space="preserve"> </w:t>
              </w:r>
              <w:r w:rsidRPr="00EF5990">
                <w:rPr>
                  <w:rFonts w:asciiTheme="minorHAnsi" w:hAnsiTheme="minorHAnsi" w:cstheme="minorHAnsi"/>
                  <w:lang w:val="el-GR"/>
                </w:rPr>
                <w:t xml:space="preserve">(γ) Στην πρόταση </w:t>
              </w:r>
              <w:r w:rsidRPr="00EF5990">
                <w:rPr>
                  <w:rFonts w:asciiTheme="minorHAnsi" w:hAnsiTheme="minorHAnsi" w:cstheme="minorHAnsi"/>
                  <w:i/>
                  <w:lang w:val="el-GR"/>
                </w:rPr>
                <w:t>«συμβατότητα των Τ.Π.Ε. με τις υποστηρικτικές τεχνολογίες που χρησιμοποιούν τα άτομα με αναπηρία […]»</w:t>
              </w:r>
              <w:r w:rsidRPr="00EF5990">
                <w:rPr>
                  <w:rFonts w:asciiTheme="minorHAnsi" w:hAnsiTheme="minorHAnsi" w:cstheme="minorHAnsi"/>
                  <w:lang w:val="el-GR"/>
                </w:rPr>
                <w:t xml:space="preserve">,πρέπει να προστεθεί και </w:t>
              </w:r>
              <w:r>
                <w:rPr>
                  <w:rFonts w:asciiTheme="minorHAnsi" w:hAnsiTheme="minorHAnsi" w:cstheme="minorHAnsi"/>
                  <w:lang w:val="el-GR"/>
                </w:rPr>
                <w:t xml:space="preserve">αναφορά στις εφαρμογές των ΤΠΕ </w:t>
              </w:r>
              <w:r w:rsidRPr="00EF5990">
                <w:rPr>
                  <w:rFonts w:asciiTheme="minorHAnsi" w:hAnsiTheme="minorHAnsi" w:cstheme="minorHAnsi"/>
                  <w:lang w:val="el-GR"/>
                </w:rPr>
                <w:t>ώστε να μην αφήνεται περιθώριο εξαίρεσης από την υποχρέωση των εφαρμογών των ΤΠΕ (δηλ. των ηλεκτρονικών υπηρεσιών, των εφαρμογών για φορητές συσκευές, των εφαρμογών σε infokiosks, κ.λ</w:t>
              </w:r>
              <w:r w:rsidR="00285091">
                <w:rPr>
                  <w:rFonts w:asciiTheme="minorHAnsi" w:hAnsiTheme="minorHAnsi" w:cstheme="minorHAnsi"/>
                  <w:lang w:val="el-GR"/>
                </w:rPr>
                <w:t>π.)</w:t>
              </w:r>
              <w:r w:rsidR="00285091" w:rsidRPr="00285091">
                <w:rPr>
                  <w:rFonts w:asciiTheme="minorHAnsi" w:hAnsiTheme="minorHAnsi" w:cstheme="minorHAnsi"/>
                  <w:lang w:val="el-GR"/>
                </w:rPr>
                <w:t xml:space="preserve">, </w:t>
              </w:r>
              <w:r w:rsidRPr="00EF5990">
                <w:rPr>
                  <w:rFonts w:asciiTheme="minorHAnsi" w:hAnsiTheme="minorHAnsi" w:cstheme="minorHAnsi"/>
                  <w:lang w:val="el-GR"/>
                </w:rPr>
                <w:t xml:space="preserve">(δ) Το άρθρο πρέπει εκτός από τη «Σύμβαση </w:t>
              </w:r>
              <w:r>
                <w:rPr>
                  <w:rFonts w:asciiTheme="minorHAnsi" w:hAnsiTheme="minorHAnsi" w:cstheme="minorHAnsi"/>
                  <w:lang w:val="el-GR"/>
                </w:rPr>
                <w:t xml:space="preserve">των Ηνωμένων Εθνών </w:t>
              </w:r>
              <w:r w:rsidRPr="00EF5990">
                <w:rPr>
                  <w:rFonts w:asciiTheme="minorHAnsi" w:hAnsiTheme="minorHAnsi" w:cstheme="minorHAnsi"/>
                  <w:lang w:val="el-GR"/>
                </w:rPr>
                <w:t>για τα Δι</w:t>
              </w:r>
              <w:r>
                <w:rPr>
                  <w:rFonts w:asciiTheme="minorHAnsi" w:hAnsiTheme="minorHAnsi" w:cstheme="minorHAnsi"/>
                  <w:lang w:val="el-GR"/>
                </w:rPr>
                <w:t>καιώματα των Ατόμων με Αναπηρίες</w:t>
              </w:r>
              <w:r w:rsidRPr="00EF5990">
                <w:rPr>
                  <w:rFonts w:asciiTheme="minorHAnsi" w:hAnsiTheme="minorHAnsi" w:cstheme="minorHAnsi"/>
                  <w:lang w:val="el-GR"/>
                </w:rPr>
                <w:t xml:space="preserve">» και την </w:t>
              </w:r>
              <w:r>
                <w:rPr>
                  <w:rFonts w:asciiTheme="minorHAnsi" w:hAnsiTheme="minorHAnsi" w:cstheme="minorHAnsi"/>
                  <w:lang w:val="el-GR"/>
                </w:rPr>
                <w:t xml:space="preserve">Υπ. Απο. </w:t>
              </w:r>
              <w:r w:rsidRPr="00EF5990">
                <w:rPr>
                  <w:rFonts w:asciiTheme="minorHAnsi" w:hAnsiTheme="minorHAnsi" w:cstheme="minorHAnsi"/>
                  <w:lang w:val="el-GR"/>
                </w:rPr>
                <w:t>Φ.40.4/1/989, να συνδέεται ρητά και με τον πρόσφατο νόμο ν. 4591/2019 στον οποίο προδιαγράφονται, μεταξύ άλλων, οι απαιτήσεις συμμόρφωσης για την προσβασιμότητα των ιστότοπων και των εφαρμογών για φορητές συσκευές τω</w:t>
              </w:r>
              <w:r w:rsidR="00285091">
                <w:rPr>
                  <w:rFonts w:asciiTheme="minorHAnsi" w:hAnsiTheme="minorHAnsi" w:cstheme="minorHAnsi"/>
                  <w:lang w:val="el-GR"/>
                </w:rPr>
                <w:t xml:space="preserve">ν οργανισμών του δημόσιου τομέα, </w:t>
              </w:r>
              <w:r w:rsidRPr="00EF5990">
                <w:rPr>
                  <w:rFonts w:asciiTheme="minorHAnsi" w:hAnsiTheme="minorHAnsi" w:cstheme="minorHAnsi"/>
                  <w:lang w:val="el-GR"/>
                </w:rPr>
                <w:t xml:space="preserve">(ε) </w:t>
              </w:r>
              <w:r>
                <w:rPr>
                  <w:rFonts w:asciiTheme="minorHAnsi" w:hAnsiTheme="minorHAnsi" w:cstheme="minorHAnsi"/>
                  <w:lang w:val="el-GR"/>
                </w:rPr>
                <w:t xml:space="preserve">Προτείνεται </w:t>
              </w:r>
              <w:r w:rsidRPr="00EF5990">
                <w:rPr>
                  <w:rFonts w:asciiTheme="minorHAnsi" w:hAnsiTheme="minorHAnsi" w:cstheme="minorHAnsi"/>
                  <w:lang w:val="el-GR"/>
                </w:rPr>
                <w:t>το τμήμα να ονομάζεται «</w:t>
              </w:r>
              <w:r w:rsidRPr="00EF5990">
                <w:rPr>
                  <w:rFonts w:asciiTheme="minorHAnsi" w:hAnsiTheme="minorHAnsi" w:cstheme="minorHAnsi"/>
                  <w:i/>
                  <w:lang w:val="el-GR"/>
                </w:rPr>
                <w:t>Τμήμα Προσβασιμότητας και Ηλεκτρονικής Ένταξης»</w:t>
              </w:r>
              <w:r w:rsidRPr="00EF5990">
                <w:rPr>
                  <w:rFonts w:asciiTheme="minorHAnsi" w:hAnsiTheme="minorHAnsi" w:cstheme="minorHAnsi"/>
                  <w:lang w:val="el-GR"/>
                </w:rPr>
                <w:t>, με διευρυμένη αρμοδιότητα τη σχεδίαση και προώθηση και πολιτικών και προγραμμάτων «ηλεκτρονικής ένταξης» (αγγλ. e-Inclusion), με στόχο την αξιοποίηση των ΤΠΕ και των εφαρμογών τους για την αντιμετώπιση των αποκλεισμών, συμπεριλαμβανομένου του ψηφιακού χάσματος.</w:t>
              </w:r>
            </w:p>
            <w:p w:rsidR="00285091" w:rsidRPr="00285091" w:rsidRDefault="00285091" w:rsidP="00285091">
              <w:pPr>
                <w:pStyle w:val="Default"/>
                <w:jc w:val="both"/>
                <w:rPr>
                  <w:rFonts w:asciiTheme="minorHAnsi" w:hAnsiTheme="minorHAnsi" w:cstheme="minorHAnsi"/>
                  <w:b/>
                  <w:u w:val="single"/>
                  <w:lang w:val="el-GR"/>
                </w:rPr>
              </w:pPr>
            </w:p>
            <w:p w:rsidR="004D460B" w:rsidRPr="00E35F54" w:rsidRDefault="004D460B" w:rsidP="00E35F54">
              <w:pPr>
                <w:pStyle w:val="Default"/>
                <w:jc w:val="both"/>
                <w:rPr>
                  <w:rFonts w:asciiTheme="minorHAnsi" w:hAnsiTheme="minorHAnsi" w:cstheme="minorHAnsi"/>
                  <w:lang w:val="el-GR"/>
                </w:rPr>
              </w:pPr>
              <w:r w:rsidRPr="00E35F54">
                <w:rPr>
                  <w:rFonts w:asciiTheme="minorHAnsi" w:hAnsiTheme="minorHAnsi" w:cstheme="minorHAnsi"/>
                  <w:b/>
                  <w:lang w:val="el-GR"/>
                </w:rPr>
                <w:t>8.</w:t>
              </w:r>
              <w:r w:rsidRPr="00E35F54">
                <w:rPr>
                  <w:rFonts w:asciiTheme="minorHAnsi" w:hAnsiTheme="minorHAnsi" w:cstheme="minorHAnsi"/>
                  <w:lang w:val="el-GR"/>
                </w:rPr>
                <w:t xml:space="preserve"> Το άρθρο 25: </w:t>
              </w:r>
              <w:r w:rsidRPr="00E35F54">
                <w:rPr>
                  <w:rFonts w:asciiTheme="minorHAnsi" w:hAnsiTheme="minorHAnsi" w:cstheme="minorHAnsi"/>
                  <w:i/>
                  <w:lang w:val="el-GR"/>
                </w:rPr>
                <w:t>«Διεύθυνση Απλούστευσης Διαδικασιών»</w:t>
              </w:r>
              <w:r w:rsidRPr="00E35F54">
                <w:rPr>
                  <w:rFonts w:asciiTheme="minorHAnsi" w:hAnsiTheme="minorHAnsi" w:cstheme="minorHAnsi"/>
                  <w:lang w:val="el-GR"/>
                </w:rPr>
                <w:t xml:space="preserve"> να συμπληρωθεί ως ακολούθως </w:t>
              </w:r>
              <w:r w:rsidRPr="002A49F2">
                <w:rPr>
                  <w:rFonts w:asciiTheme="minorHAnsi" w:hAnsiTheme="minorHAnsi" w:cstheme="minorHAnsi"/>
                  <w:lang w:val="el-GR"/>
                </w:rPr>
                <w:t>(βλ. κείμενο με</w:t>
              </w:r>
              <w:r w:rsidRPr="002A49F2">
                <w:rPr>
                  <w:rFonts w:asciiTheme="minorHAnsi" w:hAnsiTheme="minorHAnsi" w:cstheme="minorHAnsi"/>
                  <w:bCs/>
                  <w:lang w:val="el-GR"/>
                </w:rPr>
                <w:t xml:space="preserve"> έντονη γραμματοσειρά</w:t>
              </w:r>
              <w:r w:rsidRPr="002A49F2">
                <w:rPr>
                  <w:rFonts w:asciiTheme="minorHAnsi" w:hAnsiTheme="minorHAnsi" w:cstheme="minorHAnsi"/>
                  <w:lang w:val="el-GR"/>
                </w:rPr>
                <w:t>):</w:t>
              </w:r>
            </w:p>
            <w:p w:rsidR="004D460B" w:rsidRPr="00E35F54" w:rsidRDefault="004D460B" w:rsidP="00E35F54">
              <w:pPr>
                <w:pStyle w:val="Default"/>
                <w:jc w:val="both"/>
                <w:rPr>
                  <w:rFonts w:asciiTheme="minorHAnsi" w:hAnsiTheme="minorHAnsi" w:cstheme="minorHAnsi"/>
                  <w:i/>
                  <w:iCs/>
                  <w:lang w:val="el-GR"/>
                </w:rPr>
              </w:pPr>
              <w:r w:rsidRPr="00E35F54">
                <w:rPr>
                  <w:rFonts w:asciiTheme="minorHAnsi" w:hAnsiTheme="minorHAnsi" w:cstheme="minorHAnsi"/>
                  <w:lang w:val="el-GR"/>
                </w:rPr>
                <w:t>«</w:t>
              </w:r>
              <w:r w:rsidRPr="00E35F54">
                <w:rPr>
                  <w:rFonts w:asciiTheme="minorHAnsi" w:hAnsiTheme="minorHAnsi" w:cstheme="minorHAnsi"/>
                  <w:i/>
                  <w:iCs/>
                  <w:lang w:val="el-GR"/>
                </w:rPr>
                <w:t>Η Διεύθυνση Απλούστευσης Διαδικασιών συγκροτείται από τα ακόλουθα Τμήματα: [...]</w:t>
              </w:r>
            </w:p>
            <w:p w:rsidR="004D460B" w:rsidRDefault="004D460B" w:rsidP="00E35F54">
              <w:pPr>
                <w:pStyle w:val="Default"/>
                <w:jc w:val="both"/>
                <w:rPr>
                  <w:rFonts w:asciiTheme="minorHAnsi" w:hAnsiTheme="minorHAnsi" w:cstheme="minorHAnsi"/>
                  <w:i/>
                  <w:iCs/>
                  <w:lang w:val="el-GR"/>
                </w:rPr>
              </w:pPr>
              <w:r w:rsidRPr="00E35F54">
                <w:rPr>
                  <w:rFonts w:asciiTheme="minorHAnsi" w:hAnsiTheme="minorHAnsi" w:cstheme="minorHAnsi"/>
                  <w:i/>
                  <w:iCs/>
                  <w:lang w:val="el-GR"/>
                </w:rPr>
                <w:lastRenderedPageBreak/>
                <w:t xml:space="preserve">3. Στο Τμήμα Αξιολόγησης Διαδικασιών περιλαμβάνονται οι κάτωθι αρμοδιότητες: (α) [...] (β) η μέτρηση της ικανοποίησης </w:t>
              </w:r>
              <w:r w:rsidRPr="00E35F54">
                <w:rPr>
                  <w:rFonts w:asciiTheme="minorHAnsi" w:hAnsiTheme="minorHAnsi" w:cstheme="minorHAnsi"/>
                  <w:b/>
                  <w:bCs/>
                  <w:i/>
                  <w:iCs/>
                  <w:lang w:val="el-GR"/>
                </w:rPr>
                <w:t xml:space="preserve">όλων </w:t>
              </w:r>
              <w:r w:rsidRPr="00E35F54">
                <w:rPr>
                  <w:rFonts w:asciiTheme="minorHAnsi" w:hAnsiTheme="minorHAnsi" w:cstheme="minorHAnsi"/>
                  <w:i/>
                  <w:iCs/>
                  <w:lang w:val="el-GR"/>
                </w:rPr>
                <w:t xml:space="preserve">των χρηστών, </w:t>
              </w:r>
              <w:r w:rsidRPr="00E35F54">
                <w:rPr>
                  <w:rFonts w:asciiTheme="minorHAnsi" w:hAnsiTheme="minorHAnsi" w:cstheme="minorHAnsi"/>
                  <w:b/>
                  <w:bCs/>
                  <w:i/>
                  <w:iCs/>
                  <w:lang w:val="el-GR"/>
                </w:rPr>
                <w:t>συμπεριλαμβανομένων των χρηστών με αναπηρία,</w:t>
              </w:r>
              <w:r w:rsidRPr="00E35F54">
                <w:rPr>
                  <w:rFonts w:asciiTheme="minorHAnsi" w:hAnsiTheme="minorHAnsi" w:cstheme="minorHAnsi"/>
                  <w:i/>
                  <w:iCs/>
                  <w:lang w:val="el-GR"/>
                </w:rPr>
                <w:t xml:space="preserve"> των υπηρεσιών που παρέχονται από φορείς της Δημόσιας Διοίκησης και η διατύπωση μέτρων ενίσχυσης της εμπιστοσύνης των πολιτών προς τους φορείς της, (γ) [...], (ε) η αξιολόγηση των υπηρεσιών του Κεντρικού Συστήματος Παροχής Υπηρεσιών του Δημόσιου Τομέα και των επί μέρους υπηρεσιών που παρέχονται από φορείς της Δημόσιας Διοίκησης με ποιοτικά και ποσοτικά κριτήρια (χρόνος εξυπηρέτησης, απαίτηση για φυσική παρουσία, κανάλια επικοινωνίας και διάθεσης υπηρεσιών, υπηρεσίες μιας στάσης, </w:t>
              </w:r>
              <w:r w:rsidRPr="00E35F54">
                <w:rPr>
                  <w:rFonts w:asciiTheme="minorHAnsi" w:hAnsiTheme="minorHAnsi" w:cstheme="minorHAnsi"/>
                  <w:b/>
                  <w:bCs/>
                  <w:i/>
                  <w:iCs/>
                  <w:lang w:val="el-GR"/>
                </w:rPr>
                <w:t>προσβασιμότητα σε άτομα με αναπηρία</w:t>
              </w:r>
              <w:r w:rsidR="00534686" w:rsidRPr="00E35F54">
                <w:rPr>
                  <w:rFonts w:asciiTheme="minorHAnsi" w:hAnsiTheme="minorHAnsi" w:cstheme="minorHAnsi"/>
                  <w:i/>
                  <w:iCs/>
                  <w:lang w:val="el-GR"/>
                </w:rPr>
                <w:t xml:space="preserve"> κ.λπ.), […] </w:t>
              </w:r>
              <w:r w:rsidRPr="00E35F54">
                <w:rPr>
                  <w:rFonts w:asciiTheme="minorHAnsi" w:hAnsiTheme="minorHAnsi" w:cstheme="minorHAnsi"/>
                  <w:i/>
                  <w:iCs/>
                  <w:lang w:val="el-GR"/>
                </w:rPr>
                <w:t xml:space="preserve">4. Στο Τμήμα Μητρώου Διαδικασιών περιλαμβάνονται οι κάτωθι αρμοδιότητες: (α) [...], (γ) η συνεχής βελτίωση και επικαιροποίηση του Μητρώου και η διασφάλιση της φιλικότητας </w:t>
              </w:r>
              <w:r w:rsidRPr="00E35F54">
                <w:rPr>
                  <w:rFonts w:asciiTheme="minorHAnsi" w:hAnsiTheme="minorHAnsi" w:cstheme="minorHAnsi"/>
                  <w:b/>
                  <w:bCs/>
                  <w:i/>
                  <w:iCs/>
                  <w:lang w:val="el-GR"/>
                </w:rPr>
                <w:t xml:space="preserve">και προσβασιμότητας </w:t>
              </w:r>
              <w:r w:rsidRPr="00E35F54">
                <w:rPr>
                  <w:rFonts w:asciiTheme="minorHAnsi" w:hAnsiTheme="minorHAnsi" w:cstheme="minorHAnsi"/>
                  <w:i/>
                  <w:iCs/>
                  <w:lang w:val="el-GR"/>
                </w:rPr>
                <w:t>προς τους χρήστες, (δ)[...]</w:t>
              </w:r>
              <w:r w:rsidR="00534686" w:rsidRPr="00E35F54">
                <w:rPr>
                  <w:rFonts w:asciiTheme="minorHAnsi" w:hAnsiTheme="minorHAnsi" w:cstheme="minorHAnsi"/>
                  <w:i/>
                  <w:iCs/>
                  <w:lang w:val="el-GR"/>
                </w:rPr>
                <w:t xml:space="preserve"> </w:t>
              </w:r>
              <w:r w:rsidRPr="00E35F54">
                <w:rPr>
                  <w:rFonts w:asciiTheme="minorHAnsi" w:hAnsiTheme="minorHAnsi" w:cstheme="minorHAnsi"/>
                  <w:i/>
                  <w:iCs/>
                  <w:lang w:val="el-GR"/>
                </w:rPr>
                <w:t xml:space="preserve">5. Στο Τμήμα Οργάνωσης και Λειτουργίας Υπηρεσιών Μιας Στάσης περιλαμβάνονται οι κάτωθι αρμοδιότητες: </w:t>
              </w:r>
              <w:r w:rsidR="00534686" w:rsidRPr="00E35F54">
                <w:rPr>
                  <w:rFonts w:asciiTheme="minorHAnsi" w:hAnsiTheme="minorHAnsi" w:cstheme="minorHAnsi"/>
                  <w:i/>
                  <w:iCs/>
                  <w:lang w:val="el-GR"/>
                </w:rPr>
                <w:t xml:space="preserve">[…] </w:t>
              </w:r>
              <w:r w:rsidRPr="00E35F54">
                <w:rPr>
                  <w:rFonts w:asciiTheme="minorHAnsi" w:hAnsiTheme="minorHAnsi" w:cstheme="minorHAnsi"/>
                  <w:i/>
                  <w:iCs/>
                  <w:lang w:val="el-GR"/>
                </w:rPr>
                <w:t>(β) η αξιολόγηση των υπηρεσιών μιας στάσης ως προς ζητήματα που αφορούν τις υποδομές τους, την εξυπηρέτηση των πολιτών</w:t>
              </w:r>
              <w:r w:rsidRPr="00E35F54">
                <w:rPr>
                  <w:rFonts w:asciiTheme="minorHAnsi" w:hAnsiTheme="minorHAnsi" w:cstheme="minorHAnsi"/>
                  <w:b/>
                  <w:bCs/>
                  <w:i/>
                  <w:iCs/>
                  <w:lang w:val="el-GR"/>
                </w:rPr>
                <w:t>, την προσβασιμότητα στους πολίτες με αναπηρία</w:t>
              </w:r>
              <w:r w:rsidRPr="00E35F54">
                <w:rPr>
                  <w:rFonts w:asciiTheme="minorHAnsi" w:hAnsiTheme="minorHAnsi" w:cstheme="minorHAnsi"/>
                  <w:i/>
                  <w:iCs/>
                  <w:lang w:val="el-GR"/>
                </w:rPr>
                <w:t xml:space="preserve"> και την ποιότητα παροχής υπηρεσιών και η παροχή οδηγιών προς τους φορείς που παρέχουν υπηρεσίες σε πολίτες και επιχειρήσεις, για την επίλυση προβλημάτων εξυπηρέτησης, (γ) [...]»</w:t>
              </w:r>
              <w:r w:rsidR="001709A1">
                <w:rPr>
                  <w:rFonts w:asciiTheme="minorHAnsi" w:hAnsiTheme="minorHAnsi" w:cstheme="minorHAnsi"/>
                  <w:i/>
                  <w:iCs/>
                  <w:lang w:val="el-GR"/>
                </w:rPr>
                <w:t xml:space="preserve">. </w:t>
              </w:r>
            </w:p>
            <w:p w:rsidR="004D460B" w:rsidRDefault="004D460B" w:rsidP="00285091">
              <w:pPr>
                <w:pStyle w:val="Default"/>
                <w:jc w:val="both"/>
                <w:rPr>
                  <w:rFonts w:asciiTheme="minorHAnsi" w:hAnsiTheme="minorHAnsi" w:cstheme="minorHAnsi"/>
                  <w:i/>
                  <w:iCs/>
                  <w:lang w:val="el-GR"/>
                </w:rPr>
              </w:pPr>
            </w:p>
            <w:p w:rsidR="00285091" w:rsidRDefault="00285091" w:rsidP="00285091">
              <w:pPr>
                <w:pStyle w:val="Default"/>
                <w:jc w:val="both"/>
                <w:rPr>
                  <w:rFonts w:asciiTheme="minorHAnsi" w:hAnsiTheme="minorHAnsi" w:cstheme="minorHAnsi"/>
                  <w:iCs/>
                  <w:lang w:val="el-GR"/>
                </w:rPr>
              </w:pPr>
              <w:r w:rsidRPr="00285091">
                <w:rPr>
                  <w:rFonts w:asciiTheme="minorHAnsi" w:hAnsiTheme="minorHAnsi" w:cstheme="minorHAnsi"/>
                  <w:b/>
                  <w:iCs/>
                  <w:u w:val="single"/>
                  <w:lang w:val="el-GR"/>
                </w:rPr>
                <w:t>Αιτιολόγηση</w:t>
              </w:r>
              <w:r w:rsidRPr="00285091">
                <w:rPr>
                  <w:rFonts w:asciiTheme="minorHAnsi" w:hAnsiTheme="minorHAnsi" w:cstheme="minorHAnsi"/>
                  <w:b/>
                  <w:iCs/>
                  <w:lang w:val="el-GR"/>
                </w:rPr>
                <w:t xml:space="preserve">: </w:t>
              </w:r>
              <w:r w:rsidRPr="00285091">
                <w:rPr>
                  <w:rFonts w:asciiTheme="minorHAnsi" w:hAnsiTheme="minorHAnsi" w:cstheme="minorHAnsi"/>
                  <w:iCs/>
                  <w:lang w:val="el-GR"/>
                </w:rPr>
                <w:t>η</w:t>
              </w:r>
              <w:r w:rsidRPr="00285091">
                <w:rPr>
                  <w:rFonts w:asciiTheme="minorHAnsi" w:hAnsiTheme="minorHAnsi" w:cstheme="minorHAnsi"/>
                  <w:b/>
                  <w:iCs/>
                  <w:lang w:val="el-GR"/>
                </w:rPr>
                <w:t xml:space="preserve"> </w:t>
              </w:r>
              <w:r w:rsidRPr="00285091">
                <w:rPr>
                  <w:rFonts w:asciiTheme="minorHAnsi" w:hAnsiTheme="minorHAnsi" w:cstheme="minorHAnsi"/>
                  <w:iCs/>
                  <w:lang w:val="el-GR"/>
                </w:rPr>
                <w:t xml:space="preserve">προαναφερθείσα πρότασή μας βασίζεται στις απαιτήσεις </w:t>
              </w:r>
              <w:r w:rsidRPr="00285091">
                <w:rPr>
                  <w:rFonts w:asciiTheme="minorHAnsi" w:hAnsiTheme="minorHAnsi"/>
                  <w:lang w:val="el-GR"/>
                </w:rPr>
                <w:t>των παρ. 7 και 8 του άρθρου 4 του ν.3979/2011</w:t>
              </w:r>
              <w:r w:rsidR="00B156E8">
                <w:rPr>
                  <w:rFonts w:asciiTheme="minorHAnsi" w:hAnsiTheme="minorHAnsi"/>
                  <w:lang w:val="el-GR"/>
                </w:rPr>
                <w:t xml:space="preserve"> και </w:t>
              </w:r>
              <w:r w:rsidRPr="00285091">
                <w:rPr>
                  <w:rFonts w:asciiTheme="minorHAnsi" w:hAnsiTheme="minorHAnsi" w:cstheme="minorHAnsi"/>
                  <w:iCs/>
                  <w:lang w:val="el-GR"/>
                </w:rPr>
                <w:t>των άρθρων 61,62,63 του</w:t>
              </w:r>
              <w:r w:rsidR="00B156E8">
                <w:rPr>
                  <w:rFonts w:asciiTheme="minorHAnsi" w:hAnsiTheme="minorHAnsi" w:cstheme="minorHAnsi"/>
                  <w:iCs/>
                  <w:lang w:val="el-GR"/>
                </w:rPr>
                <w:t xml:space="preserve"> ν.4488/2017. </w:t>
              </w:r>
            </w:p>
            <w:p w:rsidR="00B156E8" w:rsidRPr="00285091" w:rsidRDefault="00B156E8" w:rsidP="00285091">
              <w:pPr>
                <w:pStyle w:val="Default"/>
                <w:jc w:val="both"/>
                <w:rPr>
                  <w:rFonts w:asciiTheme="minorHAnsi" w:hAnsiTheme="minorHAnsi" w:cstheme="minorHAnsi"/>
                  <w:b/>
                  <w:iCs/>
                  <w:u w:val="single"/>
                  <w:lang w:val="el-GR"/>
                </w:rPr>
              </w:pPr>
            </w:p>
            <w:p w:rsidR="004D460B" w:rsidRPr="00E35F54" w:rsidRDefault="004D460B" w:rsidP="00E35F54">
              <w:pPr>
                <w:pStyle w:val="Default"/>
                <w:jc w:val="both"/>
                <w:rPr>
                  <w:rFonts w:asciiTheme="minorHAnsi" w:hAnsiTheme="minorHAnsi" w:cstheme="minorHAnsi"/>
                  <w:lang w:val="el-GR"/>
                </w:rPr>
              </w:pPr>
              <w:r w:rsidRPr="00E35F54">
                <w:rPr>
                  <w:rFonts w:asciiTheme="minorHAnsi" w:hAnsiTheme="minorHAnsi" w:cstheme="minorHAnsi"/>
                  <w:b/>
                  <w:lang w:val="el-GR"/>
                </w:rPr>
                <w:t>9.</w:t>
              </w:r>
              <w:r w:rsidRPr="00E35F54">
                <w:rPr>
                  <w:rFonts w:asciiTheme="minorHAnsi" w:hAnsiTheme="minorHAnsi" w:cstheme="minorHAnsi"/>
                  <w:lang w:val="el-GR"/>
                </w:rPr>
                <w:t xml:space="preserve"> Το άρθρο 33 </w:t>
              </w:r>
              <w:r w:rsidRPr="00E35F54">
                <w:rPr>
                  <w:rFonts w:asciiTheme="minorHAnsi" w:hAnsiTheme="minorHAnsi" w:cstheme="minorHAnsi"/>
                  <w:i/>
                  <w:lang w:val="el-GR"/>
                </w:rPr>
                <w:t>«Διεύθυνση Λειτουργίας Οριζόντιων Συστημάτων, Εκτυπώσεων, Λειτουργικής Υποστήριξης και Υποστήριξης Χρηστών»</w:t>
              </w:r>
              <w:r w:rsidRPr="00E35F54">
                <w:rPr>
                  <w:rFonts w:asciiTheme="minorHAnsi" w:hAnsiTheme="minorHAnsi" w:cstheme="minorHAnsi"/>
                  <w:lang w:val="el-GR"/>
                </w:rPr>
                <w:t xml:space="preserve"> να συμπληρωθεί ως </w:t>
              </w:r>
              <w:r w:rsidR="00534686" w:rsidRPr="00E35F54">
                <w:rPr>
                  <w:rFonts w:asciiTheme="minorHAnsi" w:hAnsiTheme="minorHAnsi" w:cstheme="minorHAnsi"/>
                  <w:lang w:val="el-GR"/>
                </w:rPr>
                <w:t xml:space="preserve">ακολούθως </w:t>
              </w:r>
              <w:r w:rsidRPr="002A49F2">
                <w:rPr>
                  <w:rFonts w:asciiTheme="minorHAnsi" w:hAnsiTheme="minorHAnsi" w:cstheme="minorHAnsi"/>
                  <w:lang w:val="el-GR"/>
                </w:rPr>
                <w:t>(βλ. κείμενο με έντονη γραμματοσειρά):</w:t>
              </w:r>
            </w:p>
            <w:p w:rsidR="004D460B" w:rsidRPr="00E35F54" w:rsidRDefault="004D460B" w:rsidP="00E35F54">
              <w:pPr>
                <w:pStyle w:val="Default"/>
                <w:jc w:val="both"/>
                <w:rPr>
                  <w:rFonts w:asciiTheme="minorHAnsi" w:hAnsiTheme="minorHAnsi" w:cstheme="minorHAnsi"/>
                  <w:i/>
                  <w:iCs/>
                  <w:lang w:val="el-GR"/>
                </w:rPr>
              </w:pPr>
              <w:r w:rsidRPr="00E35F54">
                <w:rPr>
                  <w:rFonts w:asciiTheme="minorHAnsi" w:hAnsiTheme="minorHAnsi" w:cstheme="minorHAnsi"/>
                  <w:i/>
                  <w:iCs/>
                  <w:lang w:val="el-GR"/>
                </w:rPr>
                <w:t>«[...]3. Οι αρμοδιότητες της Διεύθυνσης Λειτουργίας Οριζόντιων Συστημάτων, Εκτυπώσεων, Λειτουργικής Υποστήριξης και Υποστήριξης Χρηστών κατανέμονται μεταξύ των Τμημάτων της ως ακολούθως:</w:t>
              </w:r>
              <w:r w:rsidR="00534686" w:rsidRPr="00E35F54">
                <w:rPr>
                  <w:rFonts w:asciiTheme="minorHAnsi" w:hAnsiTheme="minorHAnsi" w:cstheme="minorHAnsi"/>
                  <w:i/>
                  <w:iCs/>
                  <w:lang w:val="el-GR"/>
                </w:rPr>
                <w:t xml:space="preserve"> </w:t>
              </w:r>
              <w:r w:rsidRPr="00E35F54">
                <w:rPr>
                  <w:rFonts w:asciiTheme="minorHAnsi" w:hAnsiTheme="minorHAnsi" w:cstheme="minorHAnsi"/>
                  <w:i/>
                  <w:iCs/>
                  <w:lang w:val="el-GR"/>
                </w:rPr>
                <w:t>(α)[...]</w:t>
              </w:r>
              <w:r w:rsidR="00534686" w:rsidRPr="00E35F54">
                <w:rPr>
                  <w:rFonts w:asciiTheme="minorHAnsi" w:hAnsiTheme="minorHAnsi" w:cstheme="minorHAnsi"/>
                  <w:i/>
                  <w:iCs/>
                  <w:lang w:val="el-GR"/>
                </w:rPr>
                <w:t xml:space="preserve"> </w:t>
              </w:r>
              <w:r w:rsidRPr="00E35F54">
                <w:rPr>
                  <w:rFonts w:asciiTheme="minorHAnsi" w:hAnsiTheme="minorHAnsi" w:cstheme="minorHAnsi"/>
                  <w:i/>
                  <w:iCs/>
                  <w:lang w:val="el-GR"/>
                </w:rPr>
                <w:t xml:space="preserve">(δ) Τμήμα Δ΄ - Υποστήριξης Χρηστών με αρμοδιότητες: (αα) Την άμεση και συνεχή εξυπηρέτηση των πολιτών μέσω σύγχρονων μεθόδων ηλεκτρονικής επικοινωνίας </w:t>
              </w:r>
              <w:r w:rsidRPr="00E35F54">
                <w:rPr>
                  <w:rFonts w:asciiTheme="minorHAnsi" w:hAnsiTheme="minorHAnsi" w:cstheme="minorHAnsi"/>
                  <w:b/>
                  <w:bCs/>
                  <w:i/>
                  <w:iCs/>
                  <w:lang w:val="el-GR"/>
                </w:rPr>
                <w:t>προσβάσιμων σε όλους τους πολίτες χωρίς αποκλεισμούς</w:t>
              </w:r>
              <w:r w:rsidRPr="00E35F54">
                <w:rPr>
                  <w:rFonts w:asciiTheme="minorHAnsi" w:hAnsiTheme="minorHAnsi" w:cstheme="minorHAnsi"/>
                  <w:i/>
                  <w:iCs/>
                  <w:lang w:val="el-GR"/>
                </w:rPr>
                <w:t>, (ββ) Την ενημέρωση χρηστών [...]»</w:t>
              </w:r>
            </w:p>
            <w:p w:rsidR="00B156E8" w:rsidRDefault="00B156E8" w:rsidP="00B156E8">
              <w:pPr>
                <w:pStyle w:val="Default"/>
                <w:jc w:val="both"/>
                <w:rPr>
                  <w:rFonts w:asciiTheme="minorHAnsi" w:hAnsiTheme="minorHAnsi" w:cstheme="minorHAnsi"/>
                  <w:b/>
                  <w:iCs/>
                  <w:u w:val="single"/>
                  <w:lang w:val="el-GR"/>
                </w:rPr>
              </w:pPr>
            </w:p>
            <w:p w:rsidR="00B156E8" w:rsidRDefault="00B156E8" w:rsidP="00B156E8">
              <w:pPr>
                <w:pStyle w:val="Default"/>
                <w:jc w:val="both"/>
                <w:rPr>
                  <w:rFonts w:asciiTheme="minorHAnsi" w:hAnsiTheme="minorHAnsi" w:cstheme="minorHAnsi"/>
                  <w:iCs/>
                  <w:lang w:val="el-GR"/>
                </w:rPr>
              </w:pPr>
              <w:r w:rsidRPr="00285091">
                <w:rPr>
                  <w:rFonts w:asciiTheme="minorHAnsi" w:hAnsiTheme="minorHAnsi" w:cstheme="minorHAnsi"/>
                  <w:b/>
                  <w:iCs/>
                  <w:u w:val="single"/>
                  <w:lang w:val="el-GR"/>
                </w:rPr>
                <w:t>Αιτιολόγηση</w:t>
              </w:r>
              <w:r w:rsidRPr="00285091">
                <w:rPr>
                  <w:rFonts w:asciiTheme="minorHAnsi" w:hAnsiTheme="minorHAnsi" w:cstheme="minorHAnsi"/>
                  <w:b/>
                  <w:iCs/>
                  <w:lang w:val="el-GR"/>
                </w:rPr>
                <w:t xml:space="preserve">: </w:t>
              </w:r>
              <w:r w:rsidRPr="00285091">
                <w:rPr>
                  <w:rFonts w:asciiTheme="minorHAnsi" w:hAnsiTheme="minorHAnsi" w:cstheme="minorHAnsi"/>
                  <w:iCs/>
                  <w:lang w:val="el-GR"/>
                </w:rPr>
                <w:t>η</w:t>
              </w:r>
              <w:r w:rsidRPr="00285091">
                <w:rPr>
                  <w:rFonts w:asciiTheme="minorHAnsi" w:hAnsiTheme="minorHAnsi" w:cstheme="minorHAnsi"/>
                  <w:b/>
                  <w:iCs/>
                  <w:lang w:val="el-GR"/>
                </w:rPr>
                <w:t xml:space="preserve"> </w:t>
              </w:r>
              <w:r w:rsidRPr="00285091">
                <w:rPr>
                  <w:rFonts w:asciiTheme="minorHAnsi" w:hAnsiTheme="minorHAnsi" w:cstheme="minorHAnsi"/>
                  <w:iCs/>
                  <w:lang w:val="el-GR"/>
                </w:rPr>
                <w:t xml:space="preserve">προαναφερθείσα πρότασή μας βασίζεται στις απαιτήσεις </w:t>
              </w:r>
              <w:r w:rsidRPr="00285091">
                <w:rPr>
                  <w:rFonts w:asciiTheme="minorHAnsi" w:hAnsiTheme="minorHAnsi"/>
                  <w:lang w:val="el-GR"/>
                </w:rPr>
                <w:t>των παρ. 7 και 8 του άρθρου 4 του ν.3979/2011</w:t>
              </w:r>
              <w:r>
                <w:rPr>
                  <w:rFonts w:asciiTheme="minorHAnsi" w:hAnsiTheme="minorHAnsi"/>
                  <w:lang w:val="el-GR"/>
                </w:rPr>
                <w:t xml:space="preserve"> και </w:t>
              </w:r>
              <w:r w:rsidRPr="00285091">
                <w:rPr>
                  <w:rFonts w:asciiTheme="minorHAnsi" w:hAnsiTheme="minorHAnsi" w:cstheme="minorHAnsi"/>
                  <w:iCs/>
                  <w:lang w:val="el-GR"/>
                </w:rPr>
                <w:t>των άρθρων 61,62,63 του</w:t>
              </w:r>
              <w:r>
                <w:rPr>
                  <w:rFonts w:asciiTheme="minorHAnsi" w:hAnsiTheme="minorHAnsi" w:cstheme="minorHAnsi"/>
                  <w:iCs/>
                  <w:lang w:val="el-GR"/>
                </w:rPr>
                <w:t xml:space="preserve"> ν.4488/2017. </w:t>
              </w:r>
            </w:p>
            <w:p w:rsidR="004D460B" w:rsidRPr="00E35F54" w:rsidRDefault="004D460B" w:rsidP="00E35F54">
              <w:pPr>
                <w:pStyle w:val="Default"/>
                <w:jc w:val="both"/>
                <w:rPr>
                  <w:rFonts w:asciiTheme="minorHAnsi" w:hAnsiTheme="minorHAnsi" w:cstheme="minorHAnsi"/>
                  <w:i/>
                  <w:iCs/>
                  <w:lang w:val="el-GR"/>
                </w:rPr>
              </w:pPr>
            </w:p>
            <w:p w:rsidR="004D460B" w:rsidRPr="00E35F54" w:rsidRDefault="004D460B" w:rsidP="00E35F54">
              <w:pPr>
                <w:pStyle w:val="Default"/>
                <w:jc w:val="both"/>
                <w:rPr>
                  <w:rFonts w:asciiTheme="minorHAnsi" w:hAnsiTheme="minorHAnsi" w:cstheme="minorHAnsi"/>
                  <w:lang w:val="el-GR"/>
                </w:rPr>
              </w:pPr>
              <w:r w:rsidRPr="00E35F54">
                <w:rPr>
                  <w:rFonts w:asciiTheme="minorHAnsi" w:hAnsiTheme="minorHAnsi" w:cstheme="minorHAnsi"/>
                  <w:b/>
                  <w:lang w:val="el-GR"/>
                </w:rPr>
                <w:t>10.</w:t>
              </w:r>
              <w:r w:rsidRPr="00E35F54">
                <w:rPr>
                  <w:rFonts w:asciiTheme="minorHAnsi" w:hAnsiTheme="minorHAnsi" w:cstheme="minorHAnsi"/>
                  <w:lang w:val="el-GR"/>
                </w:rPr>
                <w:t xml:space="preserve"> Το άρθρο 39 </w:t>
              </w:r>
              <w:r w:rsidRPr="00E35F54">
                <w:rPr>
                  <w:rFonts w:asciiTheme="minorHAnsi" w:hAnsiTheme="minorHAnsi" w:cstheme="minorHAnsi"/>
                  <w:i/>
                  <w:lang w:val="el-GR"/>
                </w:rPr>
                <w:t>«Διεύθυνση Σχεδιασμού και Ανάπτυξης Εφαρμογών Δημόσιας Διοίκησης</w:t>
              </w:r>
              <w:r w:rsidRPr="00E35F54">
                <w:rPr>
                  <w:rFonts w:asciiTheme="minorHAnsi" w:hAnsiTheme="minorHAnsi" w:cstheme="minorHAnsi"/>
                  <w:lang w:val="el-GR"/>
                </w:rPr>
                <w:t xml:space="preserve">» να συμπληρωθεί ως </w:t>
              </w:r>
              <w:r w:rsidR="00534686" w:rsidRPr="00E35F54">
                <w:rPr>
                  <w:rFonts w:asciiTheme="minorHAnsi" w:hAnsiTheme="minorHAnsi" w:cstheme="minorHAnsi"/>
                  <w:lang w:val="el-GR"/>
                </w:rPr>
                <w:t xml:space="preserve">ακολούθως </w:t>
              </w:r>
              <w:r w:rsidRPr="002A49F2">
                <w:rPr>
                  <w:rFonts w:asciiTheme="minorHAnsi" w:hAnsiTheme="minorHAnsi" w:cstheme="minorHAnsi"/>
                  <w:lang w:val="el-GR"/>
                </w:rPr>
                <w:t>(βλ. κείμενο με έντονη γραμματοσειρά):</w:t>
              </w:r>
            </w:p>
            <w:p w:rsidR="004D460B" w:rsidRDefault="004D460B" w:rsidP="00E35F54">
              <w:pPr>
                <w:pStyle w:val="Default"/>
                <w:jc w:val="both"/>
                <w:rPr>
                  <w:rFonts w:asciiTheme="minorHAnsi" w:hAnsiTheme="minorHAnsi" w:cstheme="minorHAnsi"/>
                  <w:i/>
                  <w:iCs/>
                  <w:lang w:val="el-GR"/>
                </w:rPr>
              </w:pPr>
              <w:r w:rsidRPr="00E35F54">
                <w:rPr>
                  <w:rFonts w:asciiTheme="minorHAnsi" w:hAnsiTheme="minorHAnsi" w:cstheme="minorHAnsi"/>
                  <w:i/>
                  <w:iCs/>
                  <w:lang w:val="el-GR"/>
                </w:rPr>
                <w:t xml:space="preserve">«1. Οι επιχειρησιακοί στόχοι της Διεύθυνσης Σχεδιασμού και Ανάπτυξης Εφαρμογών Δημόσιας Διοίκησης είναι οι παρακάτω: (α) [...], (γ) Η συνεχής αναβάθμιση και η βελτίωση των εφαρμογών διαχείρισης των ιστοτόπων του Υπουργείου Ψηφιακής Διακυβέρνησης, μέσα από τη συνεργασία με όλες τις αρμόδιες Υπηρεσίες, για την </w:t>
              </w:r>
              <w:r w:rsidRPr="00E35F54">
                <w:rPr>
                  <w:rFonts w:asciiTheme="minorHAnsi" w:hAnsiTheme="minorHAnsi" w:cstheme="minorHAnsi"/>
                  <w:i/>
                  <w:iCs/>
                  <w:lang w:val="el-GR"/>
                </w:rPr>
                <w:lastRenderedPageBreak/>
                <w:t>ανανέωση και επικαιροποίησή τους, ώστε να είναι φιλικοί προς το χρήστη</w:t>
              </w:r>
              <w:r w:rsidRPr="00E35F54">
                <w:rPr>
                  <w:rFonts w:asciiTheme="minorHAnsi" w:hAnsiTheme="minorHAnsi" w:cstheme="minorHAnsi"/>
                  <w:b/>
                  <w:bCs/>
                  <w:i/>
                  <w:iCs/>
                  <w:lang w:val="el-GR"/>
                </w:rPr>
                <w:t xml:space="preserve">, προσβάσιμοι στα άτομα με αναπηρία </w:t>
              </w:r>
              <w:r w:rsidRPr="00E35F54">
                <w:rPr>
                  <w:rFonts w:asciiTheme="minorHAnsi" w:hAnsiTheme="minorHAnsi" w:cstheme="minorHAnsi"/>
                  <w:i/>
                  <w:iCs/>
                  <w:lang w:val="el-GR"/>
                </w:rPr>
                <w:t>και άρτιοι ως προς την πληροφόρηση που παρέχουν, (δ)[...]»</w:t>
              </w:r>
              <w:r w:rsidR="00B156E8">
                <w:rPr>
                  <w:rFonts w:asciiTheme="minorHAnsi" w:hAnsiTheme="minorHAnsi" w:cstheme="minorHAnsi"/>
                  <w:i/>
                  <w:iCs/>
                  <w:lang w:val="el-GR"/>
                </w:rPr>
                <w:t>.</w:t>
              </w:r>
            </w:p>
            <w:p w:rsidR="00B156E8" w:rsidRDefault="00B156E8" w:rsidP="00B156E8">
              <w:pPr>
                <w:pStyle w:val="Default"/>
                <w:jc w:val="both"/>
                <w:rPr>
                  <w:rFonts w:asciiTheme="minorHAnsi" w:hAnsiTheme="minorHAnsi" w:cstheme="minorHAnsi"/>
                  <w:iCs/>
                  <w:lang w:val="el-GR"/>
                </w:rPr>
              </w:pPr>
              <w:r w:rsidRPr="00285091">
                <w:rPr>
                  <w:rFonts w:asciiTheme="minorHAnsi" w:hAnsiTheme="minorHAnsi" w:cstheme="minorHAnsi"/>
                  <w:b/>
                  <w:iCs/>
                  <w:u w:val="single"/>
                  <w:lang w:val="el-GR"/>
                </w:rPr>
                <w:t>Αιτιολόγηση</w:t>
              </w:r>
              <w:r w:rsidRPr="00285091">
                <w:rPr>
                  <w:rFonts w:asciiTheme="minorHAnsi" w:hAnsiTheme="minorHAnsi" w:cstheme="minorHAnsi"/>
                  <w:b/>
                  <w:iCs/>
                  <w:lang w:val="el-GR"/>
                </w:rPr>
                <w:t xml:space="preserve">: </w:t>
              </w:r>
              <w:r w:rsidRPr="00285091">
                <w:rPr>
                  <w:rFonts w:asciiTheme="minorHAnsi" w:hAnsiTheme="minorHAnsi" w:cstheme="minorHAnsi"/>
                  <w:iCs/>
                  <w:lang w:val="el-GR"/>
                </w:rPr>
                <w:t>η</w:t>
              </w:r>
              <w:r w:rsidRPr="00285091">
                <w:rPr>
                  <w:rFonts w:asciiTheme="minorHAnsi" w:hAnsiTheme="minorHAnsi" w:cstheme="minorHAnsi"/>
                  <w:b/>
                  <w:iCs/>
                  <w:lang w:val="el-GR"/>
                </w:rPr>
                <w:t xml:space="preserve"> </w:t>
              </w:r>
              <w:r w:rsidRPr="00285091">
                <w:rPr>
                  <w:rFonts w:asciiTheme="minorHAnsi" w:hAnsiTheme="minorHAnsi" w:cstheme="minorHAnsi"/>
                  <w:iCs/>
                  <w:lang w:val="el-GR"/>
                </w:rPr>
                <w:t xml:space="preserve">προαναφερθείσα πρότασή μας βασίζεται στις απαιτήσεις </w:t>
              </w:r>
              <w:r w:rsidRPr="00285091">
                <w:rPr>
                  <w:rFonts w:asciiTheme="minorHAnsi" w:hAnsiTheme="minorHAnsi"/>
                  <w:lang w:val="el-GR"/>
                </w:rPr>
                <w:t>των παρ. 7 και 8 του άρθρου 4 του ν.3979/2011</w:t>
              </w:r>
              <w:r>
                <w:rPr>
                  <w:rFonts w:asciiTheme="minorHAnsi" w:hAnsiTheme="minorHAnsi"/>
                  <w:lang w:val="el-GR"/>
                </w:rPr>
                <w:t xml:space="preserve"> και </w:t>
              </w:r>
              <w:r w:rsidRPr="00285091">
                <w:rPr>
                  <w:rFonts w:asciiTheme="minorHAnsi" w:hAnsiTheme="minorHAnsi" w:cstheme="minorHAnsi"/>
                  <w:iCs/>
                  <w:lang w:val="el-GR"/>
                </w:rPr>
                <w:t>των άρθρων 61,62,63 του</w:t>
              </w:r>
              <w:r>
                <w:rPr>
                  <w:rFonts w:asciiTheme="minorHAnsi" w:hAnsiTheme="minorHAnsi" w:cstheme="minorHAnsi"/>
                  <w:iCs/>
                  <w:lang w:val="el-GR"/>
                </w:rPr>
                <w:t xml:space="preserve"> ν.4488/2017. </w:t>
              </w:r>
            </w:p>
            <w:p w:rsidR="004D460B" w:rsidRPr="00E35F54" w:rsidRDefault="004D460B" w:rsidP="00E35F54">
              <w:pPr>
                <w:pStyle w:val="Default"/>
                <w:jc w:val="both"/>
                <w:rPr>
                  <w:rFonts w:asciiTheme="minorHAnsi" w:hAnsiTheme="minorHAnsi" w:cstheme="minorHAnsi"/>
                  <w:i/>
                  <w:iCs/>
                  <w:lang w:val="el-GR"/>
                </w:rPr>
              </w:pPr>
            </w:p>
            <w:p w:rsidR="004D460B" w:rsidRPr="00E35F54" w:rsidRDefault="004D460B" w:rsidP="00E35F54">
              <w:pPr>
                <w:pStyle w:val="Default"/>
                <w:jc w:val="both"/>
                <w:rPr>
                  <w:rFonts w:asciiTheme="minorHAnsi" w:hAnsiTheme="minorHAnsi" w:cstheme="minorHAnsi"/>
                  <w:lang w:val="el-GR"/>
                </w:rPr>
              </w:pPr>
              <w:r w:rsidRPr="00E35F54">
                <w:rPr>
                  <w:rFonts w:asciiTheme="minorHAnsi" w:hAnsiTheme="minorHAnsi" w:cstheme="minorHAnsi"/>
                  <w:b/>
                  <w:lang w:val="el-GR"/>
                </w:rPr>
                <w:t>11.</w:t>
              </w:r>
              <w:r w:rsidRPr="00E35F54">
                <w:rPr>
                  <w:rFonts w:asciiTheme="minorHAnsi" w:hAnsiTheme="minorHAnsi" w:cstheme="minorHAnsi"/>
                  <w:lang w:val="el-GR"/>
                </w:rPr>
                <w:t xml:space="preserve"> Το άρθρο 46 </w:t>
              </w:r>
              <w:r w:rsidRPr="00E35F54">
                <w:rPr>
                  <w:rFonts w:asciiTheme="minorHAnsi" w:hAnsiTheme="minorHAnsi" w:cstheme="minorHAnsi"/>
                  <w:i/>
                  <w:lang w:val="el-GR"/>
                </w:rPr>
                <w:t>«Διεύθυνση Διοικητικών Υπηρεσιών»</w:t>
              </w:r>
              <w:r w:rsidRPr="00E35F54">
                <w:rPr>
                  <w:rFonts w:asciiTheme="minorHAnsi" w:hAnsiTheme="minorHAnsi" w:cstheme="minorHAnsi"/>
                  <w:lang w:val="el-GR"/>
                </w:rPr>
                <w:t xml:space="preserve"> να συμπληρωθεί και διορθωθεί ως ακολούθως </w:t>
              </w:r>
              <w:r w:rsidRPr="002A49F2">
                <w:rPr>
                  <w:rFonts w:asciiTheme="minorHAnsi" w:hAnsiTheme="minorHAnsi" w:cstheme="minorHAnsi"/>
                  <w:lang w:val="el-GR"/>
                </w:rPr>
                <w:t>(βλ. κείμενο με έντονη γραμματοσειρά):</w:t>
              </w:r>
            </w:p>
            <w:p w:rsidR="004D460B" w:rsidRPr="00E35F54" w:rsidRDefault="004D460B" w:rsidP="00E35F54">
              <w:pPr>
                <w:pStyle w:val="Default"/>
                <w:jc w:val="both"/>
                <w:rPr>
                  <w:rFonts w:asciiTheme="minorHAnsi" w:hAnsiTheme="minorHAnsi" w:cstheme="minorHAnsi"/>
                  <w:i/>
                  <w:iCs/>
                  <w:lang w:val="el-GR"/>
                </w:rPr>
              </w:pPr>
              <w:r w:rsidRPr="00E35F54">
                <w:rPr>
                  <w:rFonts w:asciiTheme="minorHAnsi" w:hAnsiTheme="minorHAnsi" w:cstheme="minorHAnsi"/>
                  <w:i/>
                  <w:iCs/>
                  <w:lang w:val="el-GR"/>
                </w:rPr>
                <w:t xml:space="preserve">«1. Η Διεύθυνση Διοικητικών Υπηρεσιών έχει ως επιχειρησιακούς στόχους τον σχεδιασμό, συντονισμό, διαχείριση και εποπτεία όλων των θεμάτων που άπτονται: α) της διοικητικής υποστήριξης των υπηρεσιών του Υπουργείου, β) της καλής λειτουργίας, </w:t>
              </w:r>
              <w:r w:rsidRPr="00E35F54">
                <w:rPr>
                  <w:rFonts w:asciiTheme="minorHAnsi" w:hAnsiTheme="minorHAnsi" w:cstheme="minorHAnsi"/>
                  <w:b/>
                  <w:bCs/>
                  <w:i/>
                  <w:iCs/>
                  <w:lang w:val="el-GR"/>
                </w:rPr>
                <w:t>προσβασιμότητας</w:t>
              </w:r>
              <w:r w:rsidRPr="00E35F54">
                <w:rPr>
                  <w:rFonts w:asciiTheme="minorHAnsi" w:hAnsiTheme="minorHAnsi" w:cstheme="minorHAnsi"/>
                  <w:i/>
                  <w:iCs/>
                  <w:lang w:val="el-GR"/>
                </w:rPr>
                <w:t xml:space="preserve"> και ασφάλειας των κτιριακών εγκαταστάσεων, του εξοπλισμού και των τεχνικών υποδομών της, γ[...]</w:t>
              </w:r>
              <w:r w:rsidR="00534686" w:rsidRPr="00E35F54">
                <w:rPr>
                  <w:rFonts w:asciiTheme="minorHAnsi" w:hAnsiTheme="minorHAnsi" w:cstheme="minorHAnsi"/>
                  <w:i/>
                  <w:iCs/>
                  <w:lang w:val="el-GR"/>
                </w:rPr>
                <w:t xml:space="preserve"> </w:t>
              </w:r>
              <w:r w:rsidRPr="00E35F54">
                <w:rPr>
                  <w:rFonts w:asciiTheme="minorHAnsi" w:hAnsiTheme="minorHAnsi" w:cstheme="minorHAnsi"/>
                  <w:i/>
                  <w:iCs/>
                  <w:lang w:val="el-GR"/>
                </w:rPr>
                <w:t xml:space="preserve">7. Στις αρμοδιότητες του ΤΜΗΜΑΤΟΣ ΜΕΡΙΜΝΑΣ ΜΕΣΩΝ &amp; ΧΩΡΩΝ το οποίο για την επιτυχή επιτέλεση του έργου του λειτουργεί σε εικοσιτετράωρη βάση περιλαμβάνονται τα κάτωθι: α. Η εξασφάλιση της προσβασιμότητας και η αντιμετώπιση, σε συνεργασία με τις καθ’ ύλην αρμόδιες υπηρεσίες του Υπουργείου, προβλημάτων και λοιπών θεμάτων διευκόλυνσης και εξυπηρέτησης ατόμων με </w:t>
              </w:r>
              <w:r w:rsidR="00285091" w:rsidRPr="00285091">
                <w:rPr>
                  <w:rFonts w:asciiTheme="minorHAnsi" w:hAnsiTheme="minorHAnsi" w:cstheme="minorHAnsi"/>
                  <w:b/>
                  <w:i/>
                  <w:iCs/>
                  <w:strike/>
                  <w:lang w:val="el-GR"/>
                </w:rPr>
                <w:t>ειδικές ανάγκες</w:t>
              </w:r>
              <w:r w:rsidR="00285091">
                <w:rPr>
                  <w:rFonts w:asciiTheme="minorHAnsi" w:hAnsiTheme="minorHAnsi" w:cstheme="minorHAnsi"/>
                  <w:i/>
                  <w:iCs/>
                  <w:lang w:val="el-GR"/>
                </w:rPr>
                <w:t xml:space="preserve"> </w:t>
              </w:r>
              <w:r w:rsidRPr="00E35F54">
                <w:rPr>
                  <w:rFonts w:asciiTheme="minorHAnsi" w:hAnsiTheme="minorHAnsi" w:cstheme="minorHAnsi"/>
                  <w:b/>
                  <w:bCs/>
                  <w:i/>
                  <w:iCs/>
                  <w:lang w:val="el-GR"/>
                </w:rPr>
                <w:t>αναπηρία</w:t>
              </w:r>
              <w:r w:rsidRPr="00E35F54">
                <w:rPr>
                  <w:rFonts w:asciiTheme="minorHAnsi" w:hAnsiTheme="minorHAnsi" w:cstheme="minorHAnsi"/>
                  <w:i/>
                  <w:iCs/>
                  <w:lang w:val="el-GR"/>
                </w:rPr>
                <w:t>, β. [...]»</w:t>
              </w:r>
            </w:p>
            <w:p w:rsidR="00534686" w:rsidRPr="00E35F54" w:rsidRDefault="00534686" w:rsidP="00E35F54">
              <w:pPr>
                <w:pStyle w:val="Default"/>
                <w:jc w:val="both"/>
                <w:rPr>
                  <w:rFonts w:asciiTheme="minorHAnsi" w:hAnsiTheme="minorHAnsi" w:cstheme="minorHAnsi"/>
                  <w:iCs/>
                  <w:u w:val="single"/>
                  <w:lang w:val="el-GR"/>
                </w:rPr>
              </w:pPr>
            </w:p>
            <w:p w:rsidR="004D460B" w:rsidRPr="00E35F54" w:rsidRDefault="004D460B" w:rsidP="00E35F54">
              <w:pPr>
                <w:pStyle w:val="Default"/>
                <w:jc w:val="both"/>
                <w:rPr>
                  <w:rFonts w:asciiTheme="minorHAnsi" w:hAnsiTheme="minorHAnsi" w:cstheme="minorHAnsi"/>
                  <w:iCs/>
                  <w:lang w:val="el-GR"/>
                </w:rPr>
              </w:pPr>
              <w:r w:rsidRPr="00E35F54">
                <w:rPr>
                  <w:rFonts w:asciiTheme="minorHAnsi" w:hAnsiTheme="minorHAnsi" w:cstheme="minorHAnsi"/>
                  <w:b/>
                  <w:iCs/>
                  <w:u w:val="single"/>
                  <w:lang w:val="el-GR"/>
                </w:rPr>
                <w:t>Προσοχή:</w:t>
              </w:r>
              <w:r w:rsidR="00285091">
                <w:rPr>
                  <w:rFonts w:asciiTheme="minorHAnsi" w:hAnsiTheme="minorHAnsi" w:cstheme="minorHAnsi"/>
                  <w:iCs/>
                  <w:lang w:val="el-GR"/>
                </w:rPr>
                <w:t xml:space="preserve"> Προτείνεται η διαγραφή του όρου </w:t>
              </w:r>
              <w:r w:rsidRPr="00E35F54">
                <w:rPr>
                  <w:rFonts w:asciiTheme="minorHAnsi" w:hAnsiTheme="minorHAnsi" w:cstheme="minorHAnsi"/>
                  <w:i/>
                  <w:iCs/>
                  <w:lang w:val="el-GR"/>
                </w:rPr>
                <w:t>«άτομα με ειδικές ανάγκες»</w:t>
              </w:r>
              <w:r w:rsidRPr="00E35F54">
                <w:rPr>
                  <w:rFonts w:asciiTheme="minorHAnsi" w:hAnsiTheme="minorHAnsi" w:cstheme="minorHAnsi"/>
                  <w:iCs/>
                  <w:lang w:val="el-GR"/>
                </w:rPr>
                <w:t xml:space="preserve"> </w:t>
              </w:r>
              <w:r w:rsidR="00285091">
                <w:rPr>
                  <w:rFonts w:asciiTheme="minorHAnsi" w:hAnsiTheme="minorHAnsi" w:cstheme="minorHAnsi"/>
                  <w:iCs/>
                  <w:lang w:val="el-GR"/>
                </w:rPr>
                <w:t xml:space="preserve">και η αντικατάστασή του από τον συνταγματικά κατοχυρωμένο όρο </w:t>
              </w:r>
              <w:r w:rsidRPr="00E35F54">
                <w:rPr>
                  <w:rFonts w:asciiTheme="minorHAnsi" w:hAnsiTheme="minorHAnsi" w:cstheme="minorHAnsi"/>
                  <w:iCs/>
                  <w:lang w:val="el-GR"/>
                </w:rPr>
                <w:t xml:space="preserve">«άτομα με αναπηρία» (βλ. παρ. 6, άρθρο 21 Συντάγματος της χώρας). </w:t>
              </w:r>
            </w:p>
            <w:p w:rsidR="004D460B" w:rsidRPr="00E35F54" w:rsidRDefault="004D460B" w:rsidP="00E35F54">
              <w:pPr>
                <w:pStyle w:val="Default"/>
                <w:jc w:val="both"/>
                <w:rPr>
                  <w:rFonts w:asciiTheme="minorHAnsi" w:hAnsiTheme="minorHAnsi" w:cstheme="minorHAnsi"/>
                  <w:i/>
                  <w:iCs/>
                  <w:lang w:val="el-GR"/>
                </w:rPr>
              </w:pPr>
            </w:p>
            <w:p w:rsidR="004F7644" w:rsidRPr="00E35F54" w:rsidRDefault="00534686" w:rsidP="00E35F54">
              <w:pPr>
                <w:pStyle w:val="Default"/>
                <w:jc w:val="both"/>
                <w:rPr>
                  <w:rFonts w:asciiTheme="minorHAnsi" w:hAnsiTheme="minorHAnsi" w:cstheme="minorHAnsi"/>
                  <w:color w:val="auto"/>
                  <w:u w:val="single"/>
                  <w:lang w:val="el-GR"/>
                </w:rPr>
              </w:pPr>
              <w:r w:rsidRPr="00E35F54">
                <w:rPr>
                  <w:rFonts w:asciiTheme="minorHAnsi" w:hAnsiTheme="minorHAnsi" w:cstheme="minorHAnsi"/>
                  <w:b/>
                  <w:color w:val="auto"/>
                  <w:lang w:val="el-GR"/>
                </w:rPr>
                <w:t>12</w:t>
              </w:r>
              <w:r w:rsidR="004D460B" w:rsidRPr="00E35F54">
                <w:rPr>
                  <w:rFonts w:asciiTheme="minorHAnsi" w:hAnsiTheme="minorHAnsi" w:cstheme="minorHAnsi"/>
                  <w:b/>
                  <w:color w:val="auto"/>
                  <w:lang w:val="el-GR"/>
                </w:rPr>
                <w:t>.</w:t>
              </w:r>
              <w:r w:rsidR="004D460B" w:rsidRPr="00E35F54">
                <w:rPr>
                  <w:rFonts w:asciiTheme="minorHAnsi" w:hAnsiTheme="minorHAnsi" w:cstheme="minorHAnsi"/>
                  <w:color w:val="auto"/>
                  <w:lang w:val="el-GR"/>
                </w:rPr>
                <w:t xml:space="preserve"> Να προστεθε</w:t>
              </w:r>
              <w:r w:rsidR="004F7644" w:rsidRPr="00E35F54">
                <w:rPr>
                  <w:rFonts w:asciiTheme="minorHAnsi" w:hAnsiTheme="minorHAnsi" w:cstheme="minorHAnsi"/>
                  <w:color w:val="auto"/>
                  <w:lang w:val="el-GR"/>
                </w:rPr>
                <w:t>ί επιπλέον άρθρο στο Μέρος Γ’</w:t>
              </w:r>
              <w:r w:rsidR="004D460B" w:rsidRPr="00E35F54">
                <w:rPr>
                  <w:rFonts w:asciiTheme="minorHAnsi" w:hAnsiTheme="minorHAnsi" w:cstheme="minorHAnsi"/>
                  <w:color w:val="auto"/>
                  <w:lang w:val="el-GR"/>
                </w:rPr>
                <w:t>-ΚΕΦΑΛΑΙΟ ΣΤ’ (Διατάξεις αρμοδιότητας Υπουργείου Τουρισμού) ως ακολούθως:</w:t>
              </w:r>
            </w:p>
            <w:p w:rsidR="004D460B" w:rsidRPr="00E35F54" w:rsidRDefault="004D460B" w:rsidP="00E35F54">
              <w:pPr>
                <w:pStyle w:val="Default"/>
                <w:jc w:val="both"/>
                <w:rPr>
                  <w:rFonts w:asciiTheme="minorHAnsi" w:hAnsiTheme="minorHAnsi" w:cstheme="minorHAnsi"/>
                  <w:color w:val="auto"/>
                  <w:u w:val="single"/>
                  <w:lang w:val="el-GR"/>
                </w:rPr>
              </w:pPr>
              <w:r w:rsidRPr="00E35F54">
                <w:rPr>
                  <w:rFonts w:asciiTheme="minorHAnsi" w:hAnsiTheme="minorHAnsi" w:cstheme="minorHAnsi"/>
                  <w:b/>
                  <w:bCs/>
                  <w:i/>
                  <w:iCs/>
                  <w:color w:val="auto"/>
                  <w:lang w:val="el-GR"/>
                </w:rPr>
                <w:t>«Άρθρο 75</w:t>
              </w:r>
            </w:p>
            <w:p w:rsidR="002A49F2" w:rsidRDefault="004D460B" w:rsidP="00541BBA">
              <w:pPr>
                <w:pStyle w:val="Default"/>
                <w:jc w:val="both"/>
                <w:rPr>
                  <w:rFonts w:asciiTheme="minorHAnsi" w:hAnsiTheme="minorHAnsi" w:cstheme="minorHAnsi"/>
                  <w:b/>
                  <w:bCs/>
                  <w:i/>
                  <w:iCs/>
                  <w:color w:val="auto"/>
                  <w:lang w:val="el-GR"/>
                </w:rPr>
              </w:pPr>
              <w:r w:rsidRPr="00E35F54">
                <w:rPr>
                  <w:rFonts w:asciiTheme="minorHAnsi" w:hAnsiTheme="minorHAnsi" w:cstheme="minorHAnsi"/>
                  <w:b/>
                  <w:bCs/>
                  <w:i/>
                  <w:iCs/>
                  <w:color w:val="auto"/>
                  <w:lang w:val="el-GR"/>
                </w:rPr>
                <w:t>Στα προγράμματα σπουδών όλων των βαθμίδων των Ανώτερων και Ανώτατων Σχολών Τουριστικής Εκπαίδευσης εισάγεται από την εκπαιδευτική περίοδο 2020-2021 υποχρεωτική εκπαιδευτική ενότητα σχετική με τις ανάγκες και τα δικαιώματα των ατόμων με αναπηρία.»</w:t>
              </w:r>
            </w:p>
            <w:p w:rsidR="00541BBA" w:rsidRPr="00541BBA" w:rsidRDefault="00541BBA" w:rsidP="00541BBA">
              <w:pPr>
                <w:pStyle w:val="Default"/>
                <w:jc w:val="both"/>
                <w:rPr>
                  <w:rFonts w:asciiTheme="minorHAnsi" w:hAnsiTheme="minorHAnsi" w:cstheme="minorHAnsi"/>
                  <w:b/>
                  <w:bCs/>
                  <w:i/>
                  <w:iCs/>
                  <w:color w:val="auto"/>
                  <w:lang w:val="el-GR"/>
                </w:rPr>
              </w:pPr>
            </w:p>
            <w:p w:rsidR="002A49F2" w:rsidRPr="00E35F54" w:rsidRDefault="002A49F2" w:rsidP="002A49F2">
              <w:pPr>
                <w:spacing w:line="240" w:lineRule="auto"/>
                <w:rPr>
                  <w:rFonts w:asciiTheme="minorHAnsi" w:hAnsiTheme="minorHAnsi"/>
                  <w:b/>
                  <w:i/>
                  <w:color w:val="auto"/>
                  <w:sz w:val="24"/>
                  <w:szCs w:val="24"/>
                  <w:lang w:eastAsia="el-GR"/>
                </w:rPr>
              </w:pPr>
              <w:r w:rsidRPr="002A49F2">
                <w:rPr>
                  <w:rFonts w:asciiTheme="minorHAnsi" w:hAnsiTheme="minorHAnsi"/>
                  <w:b/>
                  <w:i/>
                  <w:color w:val="auto"/>
                  <w:sz w:val="24"/>
                  <w:szCs w:val="24"/>
                  <w:lang w:eastAsia="el-GR"/>
                </w:rPr>
                <w:t>Αξιότιμοι</w:t>
              </w:r>
              <w:r>
                <w:rPr>
                  <w:rFonts w:asciiTheme="minorHAnsi" w:hAnsiTheme="minorHAnsi"/>
                  <w:color w:val="auto"/>
                  <w:sz w:val="24"/>
                  <w:szCs w:val="24"/>
                  <w:lang w:eastAsia="el-GR"/>
                </w:rPr>
                <w:t xml:space="preserve"> </w:t>
              </w:r>
              <w:r>
                <w:rPr>
                  <w:rFonts w:asciiTheme="minorHAnsi" w:hAnsiTheme="minorHAnsi"/>
                  <w:b/>
                  <w:i/>
                  <w:color w:val="auto"/>
                  <w:sz w:val="24"/>
                  <w:szCs w:val="24"/>
                  <w:lang w:eastAsia="el-GR"/>
                </w:rPr>
                <w:t xml:space="preserve">κύριοι </w:t>
              </w:r>
              <w:r w:rsidRPr="00E35F54">
                <w:rPr>
                  <w:rFonts w:asciiTheme="minorHAnsi" w:hAnsiTheme="minorHAnsi"/>
                  <w:b/>
                  <w:i/>
                  <w:color w:val="auto"/>
                  <w:sz w:val="24"/>
                  <w:szCs w:val="24"/>
                  <w:lang w:eastAsia="el-GR"/>
                </w:rPr>
                <w:t xml:space="preserve">Υπουργοί, </w:t>
              </w:r>
            </w:p>
            <w:p w:rsidR="002A49F2" w:rsidRDefault="00541BBA" w:rsidP="00E35F54">
              <w:pPr>
                <w:spacing w:line="240" w:lineRule="auto"/>
                <w:rPr>
                  <w:rFonts w:asciiTheme="minorHAnsi" w:hAnsiTheme="minorHAnsi"/>
                  <w:sz w:val="24"/>
                  <w:szCs w:val="24"/>
                </w:rPr>
              </w:pPr>
              <w:r>
                <w:rPr>
                  <w:rFonts w:asciiTheme="minorHAnsi" w:hAnsiTheme="minorHAnsi"/>
                  <w:sz w:val="24"/>
                  <w:szCs w:val="24"/>
                </w:rPr>
                <w:t xml:space="preserve">Τέλος θα θέλαμε </w:t>
              </w:r>
              <w:r w:rsidR="002A49F2">
                <w:rPr>
                  <w:rFonts w:asciiTheme="minorHAnsi" w:hAnsiTheme="minorHAnsi"/>
                  <w:sz w:val="24"/>
                  <w:szCs w:val="24"/>
                </w:rPr>
                <w:t xml:space="preserve">να επισημάνουμε ότι </w:t>
              </w:r>
              <w:r>
                <w:rPr>
                  <w:rFonts w:asciiTheme="minorHAnsi" w:hAnsiTheme="minorHAnsi"/>
                  <w:sz w:val="24"/>
                  <w:szCs w:val="24"/>
                </w:rPr>
                <w:t xml:space="preserve">βάσει </w:t>
              </w:r>
              <w:r w:rsidR="002A49F2">
                <w:rPr>
                  <w:rFonts w:asciiTheme="minorHAnsi" w:hAnsiTheme="minorHAnsi"/>
                  <w:sz w:val="24"/>
                  <w:szCs w:val="24"/>
                </w:rPr>
                <w:t>των απαιτήσεων των παρ. 1 και 2 των άρθρου 68 του ν.4488/2017</w:t>
              </w:r>
              <w:r>
                <w:rPr>
                  <w:rFonts w:asciiTheme="minorHAnsi" w:hAnsiTheme="minorHAnsi"/>
                  <w:sz w:val="24"/>
                  <w:szCs w:val="24"/>
                </w:rPr>
                <w:t>:</w:t>
              </w:r>
              <w:r w:rsidR="002A49F2">
                <w:rPr>
                  <w:rFonts w:asciiTheme="minorHAnsi" w:hAnsiTheme="minorHAnsi"/>
                  <w:sz w:val="24"/>
                  <w:szCs w:val="24"/>
                </w:rPr>
                <w:t xml:space="preserve"> </w:t>
              </w:r>
            </w:p>
            <w:p w:rsidR="00541BBA" w:rsidRPr="00541BBA" w:rsidRDefault="00541BBA" w:rsidP="00541BBA">
              <w:pPr>
                <w:spacing w:line="240" w:lineRule="auto"/>
                <w:rPr>
                  <w:rFonts w:asciiTheme="minorHAnsi" w:hAnsiTheme="minorHAnsi"/>
                  <w:sz w:val="24"/>
                  <w:szCs w:val="24"/>
                </w:rPr>
              </w:pPr>
              <w:r>
                <w:rPr>
                  <w:rFonts w:asciiTheme="minorHAnsi" w:hAnsiTheme="minorHAnsi"/>
                  <w:sz w:val="24"/>
                  <w:szCs w:val="24"/>
                </w:rPr>
                <w:t xml:space="preserve"> </w:t>
              </w:r>
              <w:r w:rsidRPr="00541BBA">
                <w:rPr>
                  <w:rFonts w:asciiTheme="minorHAnsi" w:hAnsiTheme="minorHAnsi"/>
                  <w:i/>
                  <w:sz w:val="24"/>
                  <w:szCs w:val="24"/>
                </w:rPr>
                <w:t>«</w:t>
              </w:r>
              <w:r w:rsidRPr="00541BBA">
                <w:rPr>
                  <w:rFonts w:asciiTheme="minorHAnsi" w:hAnsiTheme="minorHAnsi" w:cs="Arial"/>
                  <w:i/>
                  <w:sz w:val="24"/>
                  <w:szCs w:val="24"/>
                  <w:shd w:val="clear" w:color="auto" w:fill="FFFFFF"/>
                </w:rPr>
                <w:t>1. Κατά το στάδιο της νομοπαραγωγικής διαδικασίας τα αρμόδια όργανα συνεκτιμούν τα δικαιώματα των</w:t>
              </w:r>
              <w:r>
                <w:rPr>
                  <w:rFonts w:asciiTheme="minorHAnsi" w:hAnsiTheme="minorHAnsi" w:cs="Arial"/>
                  <w:i/>
                  <w:sz w:val="24"/>
                  <w:szCs w:val="24"/>
                  <w:shd w:val="clear" w:color="auto" w:fill="FFFFFF"/>
                </w:rPr>
                <w:t xml:space="preserve"> ατόμων με αναπηρία</w:t>
              </w:r>
              <w:r w:rsidRPr="00541BBA">
                <w:rPr>
                  <w:rFonts w:asciiTheme="minorHAnsi" w:hAnsiTheme="minorHAnsi" w:cs="Arial"/>
                  <w:i/>
                  <w:sz w:val="24"/>
                  <w:szCs w:val="24"/>
                  <w:shd w:val="clear" w:color="auto" w:fill="FFFFFF"/>
                </w:rPr>
                <w:t>,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w:t>
              </w:r>
              <w:r>
                <w:rPr>
                  <w:rFonts w:asciiTheme="minorHAnsi" w:hAnsiTheme="minorHAnsi" w:cs="Arial"/>
                  <w:i/>
                  <w:sz w:val="24"/>
                  <w:szCs w:val="24"/>
                  <w:shd w:val="clear" w:color="auto" w:fill="FFFFFF"/>
                </w:rPr>
                <w:t>νώσεις του αναπηρικού κινήματος […]</w:t>
              </w:r>
              <w:r w:rsidRPr="00541BBA">
                <w:rPr>
                  <w:rFonts w:asciiTheme="minorHAnsi" w:hAnsiTheme="minorHAnsi" w:cs="Arial"/>
                  <w:i/>
                  <w:sz w:val="24"/>
                  <w:szCs w:val="24"/>
                  <w:shd w:val="clear" w:color="auto" w:fill="FFFFFF"/>
                </w:rPr>
                <w:t>»</w:t>
              </w:r>
              <w:r>
                <w:rPr>
                  <w:rFonts w:asciiTheme="minorHAnsi" w:hAnsiTheme="minorHAnsi" w:cs="Arial"/>
                  <w:i/>
                  <w:sz w:val="24"/>
                  <w:szCs w:val="24"/>
                  <w:shd w:val="clear" w:color="auto" w:fill="FFFFFF"/>
                </w:rPr>
                <w:t xml:space="preserve">, </w:t>
              </w:r>
              <w:r w:rsidRPr="00541BBA">
                <w:rPr>
                  <w:rFonts w:asciiTheme="minorHAnsi" w:hAnsiTheme="minorHAnsi" w:cs="Arial"/>
                  <w:sz w:val="24"/>
                  <w:szCs w:val="24"/>
                  <w:shd w:val="clear" w:color="auto" w:fill="FFFFFF"/>
                </w:rPr>
                <w:t>όπως είναι η Ε.Σ.Α.μεΑ.</w:t>
              </w:r>
              <w:r>
                <w:rPr>
                  <w:rFonts w:asciiTheme="minorHAnsi" w:hAnsiTheme="minorHAnsi" w:cs="Arial"/>
                  <w:i/>
                  <w:sz w:val="24"/>
                  <w:szCs w:val="24"/>
                  <w:shd w:val="clear" w:color="auto" w:fill="FFFFFF"/>
                </w:rPr>
                <w:t xml:space="preserve">, </w:t>
              </w:r>
              <w:r w:rsidRPr="00541BBA">
                <w:rPr>
                  <w:rFonts w:asciiTheme="minorHAnsi" w:hAnsiTheme="minorHAnsi" w:cs="Arial"/>
                  <w:i/>
                  <w:sz w:val="24"/>
                  <w:szCs w:val="24"/>
                  <w:shd w:val="clear" w:color="auto" w:fill="FFFFFF"/>
                </w:rPr>
                <w:t xml:space="preserve">και «2. Στην </w:t>
              </w:r>
              <w:r w:rsidRPr="00541BBA">
                <w:rPr>
                  <w:rFonts w:asciiTheme="minorHAnsi" w:hAnsiTheme="minorHAnsi" w:cs="Arial"/>
                  <w:i/>
                  <w:sz w:val="24"/>
                  <w:szCs w:val="24"/>
                  <w:shd w:val="clear" w:color="auto" w:fill="FFFFFF"/>
                </w:rPr>
                <w:lastRenderedPageBreak/>
                <w:t>ανάλυση συνεπειών ρυθμίσεων που συνοδεύει κάθε σχέδιο νόμου, προσθήκη ή τροπολογία, καθώς και κανονιστικές αποφάσεις μείζονος οικονομικής ή κοινωνικής σημασίας, συμπεριλαμβάνεται ειδική ενότητα τεκμηρίωσης της συμβατότητας των προτεινόμενων ρυθμίσεων με τη Σύμβαση, καθώς και των ειδικών</w:t>
              </w:r>
              <w:r w:rsidRPr="00541BBA">
                <w:rPr>
                  <w:rFonts w:asciiTheme="minorHAnsi" w:hAnsiTheme="minorHAnsi" w:cs="Arial"/>
                  <w:sz w:val="24"/>
                  <w:szCs w:val="24"/>
                  <w:shd w:val="clear" w:color="auto" w:fill="FFFFFF"/>
                </w:rPr>
                <w:t xml:space="preserve"> συνεπειών των προτεινόμενων ρυθμίσεων στα άτομα με αναπηρία.»</w:t>
              </w:r>
            </w:p>
            <w:p w:rsidR="00091240" w:rsidRPr="00E35F54" w:rsidRDefault="0023625E" w:rsidP="00E35F54">
              <w:pPr>
                <w:spacing w:line="240" w:lineRule="auto"/>
                <w:rPr>
                  <w:rFonts w:asciiTheme="minorHAnsi" w:hAnsiTheme="minorHAnsi"/>
                  <w:sz w:val="24"/>
                  <w:szCs w:val="24"/>
                </w:rPr>
              </w:pPr>
              <w:r w:rsidRPr="00541BBA">
                <w:rPr>
                  <w:rFonts w:asciiTheme="minorHAnsi" w:hAnsiTheme="minorHAnsi"/>
                  <w:b/>
                  <w:sz w:val="24"/>
                  <w:szCs w:val="24"/>
                </w:rPr>
                <w:t>Ελπίζοντας ό</w:t>
              </w:r>
              <w:r w:rsidR="00285091" w:rsidRPr="00541BBA">
                <w:rPr>
                  <w:rFonts w:asciiTheme="minorHAnsi" w:hAnsiTheme="minorHAnsi"/>
                  <w:b/>
                  <w:sz w:val="24"/>
                  <w:szCs w:val="24"/>
                </w:rPr>
                <w:t xml:space="preserve">τι θα ανταποκριθείτε θετικά στα προαναφερθέντα </w:t>
              </w:r>
              <w:r w:rsidR="00541BBA">
                <w:rPr>
                  <w:rFonts w:asciiTheme="minorHAnsi" w:hAnsiTheme="minorHAnsi"/>
                  <w:b/>
                  <w:sz w:val="24"/>
                  <w:szCs w:val="24"/>
                </w:rPr>
                <w:t xml:space="preserve">δίκαια αιτήματά μας, ενσωματώνοντας το σύνολο των προτάσεών μας στο εν λόγω Σχέδιο Νόμου. </w:t>
              </w:r>
            </w:p>
          </w:sdtContent>
        </w:sdt>
      </w:sdtContent>
    </w:sdt>
    <w:bookmarkEnd w:id="7" w:displacedByCustomXml="prev"/>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704E7E"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704E7E"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704E7E"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1304E0" w:rsidRPr="00C01582" w:rsidRDefault="001304E0" w:rsidP="001304E0">
              <w:pPr>
                <w:spacing w:line="240" w:lineRule="auto"/>
                <w:jc w:val="left"/>
                <w:rPr>
                  <w:rStyle w:val="BulletsChar"/>
                </w:rPr>
              </w:pPr>
              <w:r w:rsidRPr="00C01582">
                <w:rPr>
                  <w:rStyle w:val="BulletsChar"/>
                </w:rPr>
                <w:t>- Γραφείο Πρωθυπουργού της χώρας</w:t>
              </w:r>
              <w:r w:rsidR="004F7644">
                <w:rPr>
                  <w:rStyle w:val="BulletsChar"/>
                </w:rPr>
                <w:t xml:space="preserve"> κ. Κ. Μητσοτάκη </w:t>
              </w:r>
            </w:p>
            <w:p w:rsidR="001304E0" w:rsidRDefault="001304E0" w:rsidP="001304E0">
              <w:pPr>
                <w:spacing w:line="240" w:lineRule="auto"/>
                <w:jc w:val="left"/>
                <w:rPr>
                  <w:rStyle w:val="BulletsChar"/>
                </w:rPr>
              </w:pPr>
              <w:r w:rsidRPr="00C01582">
                <w:rPr>
                  <w:rStyle w:val="BulletsChar"/>
                </w:rPr>
                <w:t>- Γραφείο Υφυπο</w:t>
              </w:r>
              <w:r>
                <w:rPr>
                  <w:rStyle w:val="BulletsChar"/>
                </w:rPr>
                <w:t xml:space="preserve">υργού </w:t>
              </w:r>
              <w:r w:rsidR="004F7644">
                <w:rPr>
                  <w:rStyle w:val="BulletsChar"/>
                </w:rPr>
                <w:t>στον Πρωθυπουργό</w:t>
              </w:r>
              <w:r>
                <w:rPr>
                  <w:rStyle w:val="BulletsChar"/>
                </w:rPr>
                <w:t xml:space="preserve">, κ. </w:t>
              </w:r>
              <w:r w:rsidR="004F7644">
                <w:rPr>
                  <w:rStyle w:val="BulletsChar"/>
                </w:rPr>
                <w:t xml:space="preserve">Χρήστου –Γεώργιου Σκέρτσου </w:t>
              </w:r>
            </w:p>
            <w:p w:rsidR="001304E0" w:rsidRDefault="001304E0" w:rsidP="001304E0">
              <w:pPr>
                <w:spacing w:line="240" w:lineRule="auto"/>
                <w:jc w:val="left"/>
                <w:rPr>
                  <w:rStyle w:val="BulletsChar"/>
                </w:rPr>
              </w:pPr>
              <w:r>
                <w:rPr>
                  <w:rStyle w:val="BulletsChar"/>
                </w:rPr>
                <w:t>-</w:t>
              </w:r>
              <w:r w:rsidR="00B123D9">
                <w:rPr>
                  <w:rStyle w:val="BulletsChar"/>
                </w:rPr>
                <w:t xml:space="preserve"> </w:t>
              </w:r>
              <w:r>
                <w:rPr>
                  <w:rStyle w:val="BulletsChar"/>
                </w:rPr>
                <w:t>Γ</w:t>
              </w:r>
              <w:r w:rsidR="00B123D9">
                <w:rPr>
                  <w:rStyle w:val="BulletsChar"/>
                </w:rPr>
                <w:t xml:space="preserve">ραφείο Υφυπουργού Εσωτερικών, κ. Θ. Λιβάνιου </w:t>
              </w:r>
            </w:p>
            <w:p w:rsidR="001304E0" w:rsidRDefault="00B123D9" w:rsidP="00B123D9">
              <w:pPr>
                <w:spacing w:line="240" w:lineRule="auto"/>
                <w:jc w:val="left"/>
                <w:rPr>
                  <w:rStyle w:val="BulletsChar"/>
                </w:rPr>
              </w:pPr>
              <w:r>
                <w:rPr>
                  <w:rStyle w:val="BulletsChar"/>
                </w:rPr>
                <w:t>- Γραφείο Υφυπουργού Ψηφιακής Διακυβέρνησης, κ. Γρ. Ζαριφόπουλου</w:t>
              </w:r>
            </w:p>
            <w:p w:rsidR="00B123D9" w:rsidRDefault="00B123D9" w:rsidP="00B123D9">
              <w:pPr>
                <w:spacing w:line="240" w:lineRule="auto"/>
                <w:jc w:val="left"/>
                <w:rPr>
                  <w:rStyle w:val="BulletsChar"/>
                </w:rPr>
              </w:pPr>
              <w:r>
                <w:rPr>
                  <w:rStyle w:val="BulletsChar"/>
                </w:rPr>
                <w:t>- Γραφείο Υφυπουργού Τουρισμού, κ. Ε</w:t>
              </w:r>
              <w:r w:rsidR="007D2FAF">
                <w:rPr>
                  <w:rStyle w:val="BulletsChar"/>
                </w:rPr>
                <w:t xml:space="preserve">μ. Κόνσολα </w:t>
              </w:r>
            </w:p>
            <w:p w:rsidR="00DF7B7B" w:rsidRPr="00DF7B7B" w:rsidRDefault="001304E0" w:rsidP="001304E0">
              <w:pPr>
                <w:pStyle w:val="Bullets0"/>
                <w:numPr>
                  <w:ilvl w:val="0"/>
                  <w:numId w:val="0"/>
                </w:numPr>
                <w:rPr>
                  <w:rStyle w:val="BulletsChar"/>
                </w:rPr>
              </w:pPr>
              <w:r>
                <w:rPr>
                  <w:rStyle w:val="BulletsChar"/>
                </w:rPr>
                <w:t xml:space="preserve">- </w:t>
              </w:r>
              <w:r w:rsidR="00AD6272">
                <w:rPr>
                  <w:rStyle w:val="BulletsChar"/>
                </w:rPr>
                <w:t xml:space="preserve">Οργανώσεις </w:t>
              </w:r>
              <w:r w:rsidR="00CA0D5A">
                <w:rPr>
                  <w:rStyle w:val="BulletsChar"/>
                </w:rPr>
                <w:t xml:space="preserve"> Μέλη Ε</w:t>
              </w:r>
              <w:r w:rsidR="006A40ED">
                <w:rPr>
                  <w:rStyle w:val="BulletsChar"/>
                </w:rPr>
                <w:t>.</w:t>
              </w:r>
              <w:r w:rsidR="00CA0D5A">
                <w:rPr>
                  <w:rStyle w:val="BulletsChar"/>
                </w:rPr>
                <w:t>Σ</w:t>
              </w:r>
              <w:r w:rsidR="006A40ED">
                <w:rPr>
                  <w:rStyle w:val="BulletsChar"/>
                </w:rPr>
                <w:t>.</w:t>
              </w:r>
              <w:r w:rsidR="00CA0D5A">
                <w:rPr>
                  <w:rStyle w:val="BulletsChar"/>
                </w:rPr>
                <w:t>Α</w:t>
              </w:r>
              <w:r w:rsidR="006A40ED">
                <w:rPr>
                  <w:rStyle w:val="BulletsChar"/>
                </w:rPr>
                <w:t>.</w:t>
              </w:r>
              <w:r w:rsidR="00CA0D5A">
                <w:rPr>
                  <w:rStyle w:val="BulletsChar"/>
                </w:rPr>
                <w:t>μεΑ</w:t>
              </w:r>
              <w:r w:rsidR="006A40ED">
                <w:rPr>
                  <w:rStyle w:val="BulletsChar"/>
                </w:rPr>
                <w:t>.</w:t>
              </w:r>
            </w:p>
            <w:p w:rsidR="002D0AB7" w:rsidRPr="000E2BB8" w:rsidRDefault="00704E7E" w:rsidP="00B44B27">
              <w:pPr>
                <w:pStyle w:val="Bullets0"/>
                <w:numPr>
                  <w:ilvl w:val="0"/>
                  <w:numId w:val="0"/>
                </w:numPr>
                <w:ind w:left="272"/>
              </w:pP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704E7E"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E7E" w:rsidRDefault="00704E7E" w:rsidP="00A5663B">
      <w:pPr>
        <w:spacing w:after="0" w:line="240" w:lineRule="auto"/>
      </w:pPr>
      <w:r>
        <w:separator/>
      </w:r>
    </w:p>
    <w:p w:rsidR="00704E7E" w:rsidRDefault="00704E7E"/>
  </w:endnote>
  <w:endnote w:type="continuationSeparator" w:id="0">
    <w:p w:rsidR="00704E7E" w:rsidRDefault="00704E7E" w:rsidP="00A5663B">
      <w:pPr>
        <w:spacing w:after="0" w:line="240" w:lineRule="auto"/>
      </w:pPr>
      <w:r>
        <w:continuationSeparator/>
      </w:r>
    </w:p>
    <w:p w:rsidR="00704E7E" w:rsidRDefault="00704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4C41AA">
              <w:rPr>
                <w:noProof/>
              </w:rPr>
              <w:t>4</w:t>
            </w:r>
            <w:r>
              <w:fldChar w:fldCharType="end"/>
            </w:r>
          </w:p>
          <w:p w:rsidR="002D0AB7" w:rsidRPr="00042CAA" w:rsidRDefault="00704E7E"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E7E" w:rsidRDefault="00704E7E" w:rsidP="00A5663B">
      <w:pPr>
        <w:spacing w:after="0" w:line="240" w:lineRule="auto"/>
      </w:pPr>
      <w:bookmarkStart w:id="0" w:name="_Hlk484772647"/>
      <w:bookmarkEnd w:id="0"/>
      <w:r>
        <w:separator/>
      </w:r>
    </w:p>
    <w:p w:rsidR="00704E7E" w:rsidRDefault="00704E7E"/>
  </w:footnote>
  <w:footnote w:type="continuationSeparator" w:id="0">
    <w:p w:rsidR="00704E7E" w:rsidRDefault="00704E7E" w:rsidP="00A5663B">
      <w:pPr>
        <w:spacing w:after="0" w:line="240" w:lineRule="auto"/>
      </w:pPr>
      <w:r>
        <w:continuationSeparator/>
      </w:r>
    </w:p>
    <w:p w:rsidR="00704E7E" w:rsidRDefault="00704E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033"/>
    <w:multiLevelType w:val="hybridMultilevel"/>
    <w:tmpl w:val="3126D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B383E"/>
    <w:multiLevelType w:val="hybridMultilevel"/>
    <w:tmpl w:val="BF4C6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B7301B"/>
    <w:multiLevelType w:val="hybridMultilevel"/>
    <w:tmpl w:val="BFF46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8B6FBE"/>
    <w:multiLevelType w:val="hybridMultilevel"/>
    <w:tmpl w:val="3ED25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5072B9"/>
    <w:multiLevelType w:val="hybridMultilevel"/>
    <w:tmpl w:val="9FB21692"/>
    <w:lvl w:ilvl="0" w:tplc="20EEBFF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38932DC"/>
    <w:multiLevelType w:val="multilevel"/>
    <w:tmpl w:val="316EB7CA"/>
    <w:lvl w:ilvl="0">
      <w:start w:val="1"/>
      <w:numFmt w:val="bullet"/>
      <w:lvlText w:val=""/>
      <w:lvlJc w:val="left"/>
      <w:pPr>
        <w:ind w:left="1440" w:hanging="360"/>
      </w:pPr>
      <w:rPr>
        <w:rFonts w:ascii="Wingdings" w:hAnsi="Wingdings" w:hint="default"/>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15E76B51"/>
    <w:multiLevelType w:val="hybridMultilevel"/>
    <w:tmpl w:val="86C25074"/>
    <w:lvl w:ilvl="0" w:tplc="35F0A6E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3508CC"/>
    <w:multiLevelType w:val="multilevel"/>
    <w:tmpl w:val="6B4A6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FB64500"/>
    <w:multiLevelType w:val="hybridMultilevel"/>
    <w:tmpl w:val="853CC8AE"/>
    <w:lvl w:ilvl="0" w:tplc="522A8A8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8D5120"/>
    <w:multiLevelType w:val="hybridMultilevel"/>
    <w:tmpl w:val="9E90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B4076EC"/>
    <w:multiLevelType w:val="hybridMultilevel"/>
    <w:tmpl w:val="63ECC176"/>
    <w:lvl w:ilvl="0" w:tplc="9474A0D4">
      <w:start w:val="1"/>
      <w:numFmt w:val="decimal"/>
      <w:lvlText w:val="%1."/>
      <w:lvlJc w:val="left"/>
      <w:pPr>
        <w:ind w:left="720" w:hanging="360"/>
      </w:pPr>
      <w:rPr>
        <w:rFonts w:asciiTheme="minorHAnsi" w:hAnsiTheme="minorHAnsi" w:hint="default"/>
        <w:color w:val="auto"/>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6" w15:restartNumberingAfterBreak="0">
    <w:nsid w:val="348D4434"/>
    <w:multiLevelType w:val="hybridMultilevel"/>
    <w:tmpl w:val="9252E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A9077B4"/>
    <w:multiLevelType w:val="hybridMultilevel"/>
    <w:tmpl w:val="70A006A2"/>
    <w:lvl w:ilvl="0" w:tplc="CD2CCB6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B1B0FB2"/>
    <w:multiLevelType w:val="hybridMultilevel"/>
    <w:tmpl w:val="94D08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5A8447A"/>
    <w:multiLevelType w:val="hybridMultilevel"/>
    <w:tmpl w:val="7932CEC4"/>
    <w:lvl w:ilvl="0" w:tplc="32EAA8F6">
      <w:start w:val="2"/>
      <w:numFmt w:val="bullet"/>
      <w:lvlText w:val="-"/>
      <w:lvlJc w:val="left"/>
      <w:pPr>
        <w:ind w:left="862" w:hanging="360"/>
      </w:pPr>
      <w:rPr>
        <w:rFonts w:ascii="Calibri" w:eastAsiaTheme="minorHAnsi" w:hAnsi="Calibri" w:cstheme="minorHAnsi" w:hint="default"/>
        <w:i w:val="0"/>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2"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DD434AB"/>
    <w:multiLevelType w:val="hybridMultilevel"/>
    <w:tmpl w:val="D32CC94E"/>
    <w:lvl w:ilvl="0" w:tplc="47C6E1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823EA"/>
    <w:multiLevelType w:val="hybridMultilevel"/>
    <w:tmpl w:val="E1284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00394E"/>
    <w:multiLevelType w:val="hybridMultilevel"/>
    <w:tmpl w:val="C03EC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3B962CA"/>
    <w:multiLevelType w:val="multilevel"/>
    <w:tmpl w:val="3F262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E611FF2"/>
    <w:multiLevelType w:val="hybridMultilevel"/>
    <w:tmpl w:val="496C10E6"/>
    <w:lvl w:ilvl="0" w:tplc="665AFB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0"/>
  </w:num>
  <w:num w:numId="2">
    <w:abstractNumId w:val="30"/>
  </w:num>
  <w:num w:numId="3">
    <w:abstractNumId w:val="30"/>
  </w:num>
  <w:num w:numId="4">
    <w:abstractNumId w:val="30"/>
  </w:num>
  <w:num w:numId="5">
    <w:abstractNumId w:val="30"/>
  </w:num>
  <w:num w:numId="6">
    <w:abstractNumId w:val="30"/>
  </w:num>
  <w:num w:numId="7">
    <w:abstractNumId w:val="30"/>
  </w:num>
  <w:num w:numId="8">
    <w:abstractNumId w:val="30"/>
  </w:num>
  <w:num w:numId="9">
    <w:abstractNumId w:val="30"/>
  </w:num>
  <w:num w:numId="10">
    <w:abstractNumId w:val="26"/>
  </w:num>
  <w:num w:numId="11">
    <w:abstractNumId w:val="25"/>
  </w:num>
  <w:num w:numId="12">
    <w:abstractNumId w:val="15"/>
  </w:num>
  <w:num w:numId="13">
    <w:abstractNumId w:val="9"/>
  </w:num>
  <w:num w:numId="14">
    <w:abstractNumId w:val="1"/>
  </w:num>
  <w:num w:numId="15">
    <w:abstractNumId w:val="11"/>
  </w:num>
  <w:num w:numId="16">
    <w:abstractNumId w:val="19"/>
  </w:num>
  <w:num w:numId="17">
    <w:abstractNumId w:val="20"/>
  </w:num>
  <w:num w:numId="18">
    <w:abstractNumId w:val="22"/>
  </w:num>
  <w:num w:numId="19">
    <w:abstractNumId w:val="10"/>
  </w:num>
  <w:num w:numId="20">
    <w:abstractNumId w:val="8"/>
  </w:num>
  <w:num w:numId="21">
    <w:abstractNumId w:val="28"/>
  </w:num>
  <w:num w:numId="22">
    <w:abstractNumId w:val="6"/>
  </w:num>
  <w:num w:numId="23">
    <w:abstractNumId w:val="14"/>
  </w:num>
  <w:num w:numId="24">
    <w:abstractNumId w:val="3"/>
  </w:num>
  <w:num w:numId="25">
    <w:abstractNumId w:val="7"/>
  </w:num>
  <w:num w:numId="26">
    <w:abstractNumId w:val="13"/>
  </w:num>
  <w:num w:numId="27">
    <w:abstractNumId w:val="0"/>
  </w:num>
  <w:num w:numId="28">
    <w:abstractNumId w:val="24"/>
  </w:num>
  <w:num w:numId="29">
    <w:abstractNumId w:val="18"/>
  </w:num>
  <w:num w:numId="30">
    <w:abstractNumId w:val="2"/>
  </w:num>
  <w:num w:numId="31">
    <w:abstractNumId w:val="16"/>
  </w:num>
  <w:num w:numId="32">
    <w:abstractNumId w:val="27"/>
  </w:num>
  <w:num w:numId="33">
    <w:abstractNumId w:val="4"/>
  </w:num>
  <w:num w:numId="34">
    <w:abstractNumId w:val="29"/>
  </w:num>
  <w:num w:numId="35">
    <w:abstractNumId w:val="5"/>
  </w:num>
  <w:num w:numId="36">
    <w:abstractNumId w:val="23"/>
  </w:num>
  <w:num w:numId="37">
    <w:abstractNumId w:val="12"/>
  </w:num>
  <w:num w:numId="38">
    <w:abstractNumId w:val="2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3B5B"/>
    <w:rsid w:val="00011187"/>
    <w:rsid w:val="000145EC"/>
    <w:rsid w:val="00016434"/>
    <w:rsid w:val="00017BFD"/>
    <w:rsid w:val="000224C1"/>
    <w:rsid w:val="000319B3"/>
    <w:rsid w:val="0003631E"/>
    <w:rsid w:val="00042CAA"/>
    <w:rsid w:val="00047E00"/>
    <w:rsid w:val="00054519"/>
    <w:rsid w:val="00060078"/>
    <w:rsid w:val="00070ADA"/>
    <w:rsid w:val="0008214A"/>
    <w:rsid w:val="00084895"/>
    <w:rsid w:val="000864B5"/>
    <w:rsid w:val="00091240"/>
    <w:rsid w:val="000A425D"/>
    <w:rsid w:val="000A5463"/>
    <w:rsid w:val="000B2FB4"/>
    <w:rsid w:val="000B3F3B"/>
    <w:rsid w:val="000C099E"/>
    <w:rsid w:val="000C0B4E"/>
    <w:rsid w:val="000C14DF"/>
    <w:rsid w:val="000C2C56"/>
    <w:rsid w:val="000C602B"/>
    <w:rsid w:val="000D34E2"/>
    <w:rsid w:val="000D3D70"/>
    <w:rsid w:val="000E0567"/>
    <w:rsid w:val="000E2BB8"/>
    <w:rsid w:val="000E30A0"/>
    <w:rsid w:val="000E44E8"/>
    <w:rsid w:val="000F10B9"/>
    <w:rsid w:val="000F2370"/>
    <w:rsid w:val="000F237D"/>
    <w:rsid w:val="000F4280"/>
    <w:rsid w:val="000F76F5"/>
    <w:rsid w:val="0010481F"/>
    <w:rsid w:val="00104FD0"/>
    <w:rsid w:val="00107192"/>
    <w:rsid w:val="00113CC2"/>
    <w:rsid w:val="00124EC1"/>
    <w:rsid w:val="001304E0"/>
    <w:rsid w:val="00137185"/>
    <w:rsid w:val="00145F03"/>
    <w:rsid w:val="001501AA"/>
    <w:rsid w:val="0016039E"/>
    <w:rsid w:val="00162CAE"/>
    <w:rsid w:val="0016520C"/>
    <w:rsid w:val="00166013"/>
    <w:rsid w:val="00167EF2"/>
    <w:rsid w:val="00167FBD"/>
    <w:rsid w:val="001709A1"/>
    <w:rsid w:val="0019412D"/>
    <w:rsid w:val="00195369"/>
    <w:rsid w:val="001962F4"/>
    <w:rsid w:val="001A06C6"/>
    <w:rsid w:val="001A483E"/>
    <w:rsid w:val="001A62AD"/>
    <w:rsid w:val="001A67BA"/>
    <w:rsid w:val="001B3428"/>
    <w:rsid w:val="001B6596"/>
    <w:rsid w:val="001B7832"/>
    <w:rsid w:val="001C5964"/>
    <w:rsid w:val="001C78E4"/>
    <w:rsid w:val="001C7F18"/>
    <w:rsid w:val="001D489B"/>
    <w:rsid w:val="001E177F"/>
    <w:rsid w:val="001E439E"/>
    <w:rsid w:val="001F02A6"/>
    <w:rsid w:val="001F1161"/>
    <w:rsid w:val="001F36B5"/>
    <w:rsid w:val="001F4F51"/>
    <w:rsid w:val="001F79A0"/>
    <w:rsid w:val="002006F9"/>
    <w:rsid w:val="002036FD"/>
    <w:rsid w:val="002058AF"/>
    <w:rsid w:val="002061EF"/>
    <w:rsid w:val="002077C8"/>
    <w:rsid w:val="00224CCC"/>
    <w:rsid w:val="002251AF"/>
    <w:rsid w:val="002354C7"/>
    <w:rsid w:val="0023625E"/>
    <w:rsid w:val="00236A27"/>
    <w:rsid w:val="00240D4D"/>
    <w:rsid w:val="00242F7C"/>
    <w:rsid w:val="00244996"/>
    <w:rsid w:val="002534FE"/>
    <w:rsid w:val="00255DD0"/>
    <w:rsid w:val="00256E4C"/>
    <w:rsid w:val="002570E4"/>
    <w:rsid w:val="00264E1B"/>
    <w:rsid w:val="0026597B"/>
    <w:rsid w:val="00271036"/>
    <w:rsid w:val="00275BB3"/>
    <w:rsid w:val="0027672E"/>
    <w:rsid w:val="00283987"/>
    <w:rsid w:val="00285091"/>
    <w:rsid w:val="0028771D"/>
    <w:rsid w:val="002A256F"/>
    <w:rsid w:val="002A49F2"/>
    <w:rsid w:val="002A4C2D"/>
    <w:rsid w:val="002B2CFA"/>
    <w:rsid w:val="002B2F35"/>
    <w:rsid w:val="002B43D6"/>
    <w:rsid w:val="002C4134"/>
    <w:rsid w:val="002C71E5"/>
    <w:rsid w:val="002D0AB7"/>
    <w:rsid w:val="002D1046"/>
    <w:rsid w:val="002D1D01"/>
    <w:rsid w:val="002D2A79"/>
    <w:rsid w:val="002F692C"/>
    <w:rsid w:val="003012EC"/>
    <w:rsid w:val="00301E00"/>
    <w:rsid w:val="00306F9C"/>
    <w:rsid w:val="003071D9"/>
    <w:rsid w:val="0032111F"/>
    <w:rsid w:val="00322A0B"/>
    <w:rsid w:val="00326F43"/>
    <w:rsid w:val="0032761B"/>
    <w:rsid w:val="00327F27"/>
    <w:rsid w:val="003326D2"/>
    <w:rsid w:val="003336F9"/>
    <w:rsid w:val="00334C53"/>
    <w:rsid w:val="00337205"/>
    <w:rsid w:val="0034122A"/>
    <w:rsid w:val="0034662F"/>
    <w:rsid w:val="003522F6"/>
    <w:rsid w:val="00360859"/>
    <w:rsid w:val="00361404"/>
    <w:rsid w:val="00371099"/>
    <w:rsid w:val="00371AFA"/>
    <w:rsid w:val="00375F6F"/>
    <w:rsid w:val="003848CD"/>
    <w:rsid w:val="003956F9"/>
    <w:rsid w:val="003A4B9D"/>
    <w:rsid w:val="003A6DE4"/>
    <w:rsid w:val="003B0D39"/>
    <w:rsid w:val="003B245B"/>
    <w:rsid w:val="003B3E78"/>
    <w:rsid w:val="003B3F10"/>
    <w:rsid w:val="003B6AC5"/>
    <w:rsid w:val="003C04AA"/>
    <w:rsid w:val="003C64B2"/>
    <w:rsid w:val="003D32C1"/>
    <w:rsid w:val="003D4D14"/>
    <w:rsid w:val="003D73D0"/>
    <w:rsid w:val="003E3842"/>
    <w:rsid w:val="003E38C4"/>
    <w:rsid w:val="003E4D05"/>
    <w:rsid w:val="003E51A1"/>
    <w:rsid w:val="003F2BB8"/>
    <w:rsid w:val="003F789B"/>
    <w:rsid w:val="00412BB7"/>
    <w:rsid w:val="00413626"/>
    <w:rsid w:val="00415D99"/>
    <w:rsid w:val="00421FA4"/>
    <w:rsid w:val="00424D51"/>
    <w:rsid w:val="00427DE8"/>
    <w:rsid w:val="0043270D"/>
    <w:rsid w:val="004355A3"/>
    <w:rsid w:val="004406A4"/>
    <w:rsid w:val="004443A9"/>
    <w:rsid w:val="00464C73"/>
    <w:rsid w:val="0047186A"/>
    <w:rsid w:val="00472CFE"/>
    <w:rsid w:val="0047767A"/>
    <w:rsid w:val="00483ACE"/>
    <w:rsid w:val="00486A3F"/>
    <w:rsid w:val="00490932"/>
    <w:rsid w:val="004A0815"/>
    <w:rsid w:val="004A2EF2"/>
    <w:rsid w:val="004A6201"/>
    <w:rsid w:val="004B3ECA"/>
    <w:rsid w:val="004C0D90"/>
    <w:rsid w:val="004C19B2"/>
    <w:rsid w:val="004C41AA"/>
    <w:rsid w:val="004D0BE2"/>
    <w:rsid w:val="004D460B"/>
    <w:rsid w:val="004D5A2F"/>
    <w:rsid w:val="004D7A3C"/>
    <w:rsid w:val="004F1CA5"/>
    <w:rsid w:val="004F336E"/>
    <w:rsid w:val="004F7644"/>
    <w:rsid w:val="00501973"/>
    <w:rsid w:val="00504707"/>
    <w:rsid w:val="005077D6"/>
    <w:rsid w:val="00515CE5"/>
    <w:rsid w:val="005169F1"/>
    <w:rsid w:val="00517354"/>
    <w:rsid w:val="0052064A"/>
    <w:rsid w:val="00523EAA"/>
    <w:rsid w:val="00525C10"/>
    <w:rsid w:val="00531211"/>
    <w:rsid w:val="00532E24"/>
    <w:rsid w:val="00534686"/>
    <w:rsid w:val="00534C90"/>
    <w:rsid w:val="00540ED2"/>
    <w:rsid w:val="00541BBA"/>
    <w:rsid w:val="00542651"/>
    <w:rsid w:val="005453F1"/>
    <w:rsid w:val="00547D78"/>
    <w:rsid w:val="00553FD9"/>
    <w:rsid w:val="00561155"/>
    <w:rsid w:val="00573B0A"/>
    <w:rsid w:val="00577B8E"/>
    <w:rsid w:val="0058273F"/>
    <w:rsid w:val="00583700"/>
    <w:rsid w:val="005925BA"/>
    <w:rsid w:val="005946E0"/>
    <w:rsid w:val="005956CD"/>
    <w:rsid w:val="005A0E48"/>
    <w:rsid w:val="005B00C5"/>
    <w:rsid w:val="005B661B"/>
    <w:rsid w:val="005C077E"/>
    <w:rsid w:val="005C201F"/>
    <w:rsid w:val="005C24CF"/>
    <w:rsid w:val="005C2C02"/>
    <w:rsid w:val="005C5A0B"/>
    <w:rsid w:val="005C6905"/>
    <w:rsid w:val="005C6EDA"/>
    <w:rsid w:val="005D05EE"/>
    <w:rsid w:val="005D2B1C"/>
    <w:rsid w:val="005D30F3"/>
    <w:rsid w:val="005D44A7"/>
    <w:rsid w:val="005F5A54"/>
    <w:rsid w:val="005F68D3"/>
    <w:rsid w:val="005F7905"/>
    <w:rsid w:val="00610A7E"/>
    <w:rsid w:val="00612214"/>
    <w:rsid w:val="00616D1F"/>
    <w:rsid w:val="00617A29"/>
    <w:rsid w:val="00617AC0"/>
    <w:rsid w:val="0062764D"/>
    <w:rsid w:val="00630348"/>
    <w:rsid w:val="00637258"/>
    <w:rsid w:val="00642AA7"/>
    <w:rsid w:val="00646F21"/>
    <w:rsid w:val="00647299"/>
    <w:rsid w:val="00651CD5"/>
    <w:rsid w:val="00651ED0"/>
    <w:rsid w:val="00663E61"/>
    <w:rsid w:val="0066741D"/>
    <w:rsid w:val="00674144"/>
    <w:rsid w:val="006763CD"/>
    <w:rsid w:val="006808A9"/>
    <w:rsid w:val="006873C5"/>
    <w:rsid w:val="0069076F"/>
    <w:rsid w:val="006A40ED"/>
    <w:rsid w:val="006A785A"/>
    <w:rsid w:val="006B0355"/>
    <w:rsid w:val="006B063A"/>
    <w:rsid w:val="006B3332"/>
    <w:rsid w:val="006C4E3A"/>
    <w:rsid w:val="006D0554"/>
    <w:rsid w:val="006E1645"/>
    <w:rsid w:val="006E2A5C"/>
    <w:rsid w:val="006E31F6"/>
    <w:rsid w:val="006E692F"/>
    <w:rsid w:val="006E6B93"/>
    <w:rsid w:val="006F050F"/>
    <w:rsid w:val="006F59D3"/>
    <w:rsid w:val="006F62BF"/>
    <w:rsid w:val="006F68D0"/>
    <w:rsid w:val="00700095"/>
    <w:rsid w:val="0070334A"/>
    <w:rsid w:val="00704E7E"/>
    <w:rsid w:val="0070533F"/>
    <w:rsid w:val="00711E56"/>
    <w:rsid w:val="007136EF"/>
    <w:rsid w:val="00717C57"/>
    <w:rsid w:val="0072145A"/>
    <w:rsid w:val="00724552"/>
    <w:rsid w:val="0072458C"/>
    <w:rsid w:val="0073050A"/>
    <w:rsid w:val="00730F2D"/>
    <w:rsid w:val="00743EC1"/>
    <w:rsid w:val="00752538"/>
    <w:rsid w:val="00754C30"/>
    <w:rsid w:val="00763FCD"/>
    <w:rsid w:val="00764CFE"/>
    <w:rsid w:val="007665DD"/>
    <w:rsid w:val="00767D09"/>
    <w:rsid w:val="0077016C"/>
    <w:rsid w:val="007715CC"/>
    <w:rsid w:val="00771C72"/>
    <w:rsid w:val="00773C13"/>
    <w:rsid w:val="00791992"/>
    <w:rsid w:val="007A469B"/>
    <w:rsid w:val="007A6300"/>
    <w:rsid w:val="007A781F"/>
    <w:rsid w:val="007B2EA7"/>
    <w:rsid w:val="007B3AB6"/>
    <w:rsid w:val="007D1B7C"/>
    <w:rsid w:val="007D2FAF"/>
    <w:rsid w:val="007E2358"/>
    <w:rsid w:val="007E53F9"/>
    <w:rsid w:val="007E66D9"/>
    <w:rsid w:val="007F60F8"/>
    <w:rsid w:val="007F77CE"/>
    <w:rsid w:val="0080787B"/>
    <w:rsid w:val="008104A7"/>
    <w:rsid w:val="00811A9B"/>
    <w:rsid w:val="008160BA"/>
    <w:rsid w:val="00830514"/>
    <w:rsid w:val="008321C9"/>
    <w:rsid w:val="0083359D"/>
    <w:rsid w:val="00834CF4"/>
    <w:rsid w:val="00842387"/>
    <w:rsid w:val="00852BCC"/>
    <w:rsid w:val="00857467"/>
    <w:rsid w:val="00860404"/>
    <w:rsid w:val="00876B17"/>
    <w:rsid w:val="00880266"/>
    <w:rsid w:val="00886205"/>
    <w:rsid w:val="00890E52"/>
    <w:rsid w:val="00895AE5"/>
    <w:rsid w:val="008960BB"/>
    <w:rsid w:val="008A26A3"/>
    <w:rsid w:val="008A421B"/>
    <w:rsid w:val="008B141E"/>
    <w:rsid w:val="008B3278"/>
    <w:rsid w:val="008B5B34"/>
    <w:rsid w:val="008D2730"/>
    <w:rsid w:val="008E644C"/>
    <w:rsid w:val="008F0E1F"/>
    <w:rsid w:val="008F36C1"/>
    <w:rsid w:val="008F4A49"/>
    <w:rsid w:val="00901F06"/>
    <w:rsid w:val="00936BAC"/>
    <w:rsid w:val="0094089F"/>
    <w:rsid w:val="009503E0"/>
    <w:rsid w:val="009507F4"/>
    <w:rsid w:val="00953909"/>
    <w:rsid w:val="00955290"/>
    <w:rsid w:val="009600CF"/>
    <w:rsid w:val="009601E2"/>
    <w:rsid w:val="00960391"/>
    <w:rsid w:val="00960B06"/>
    <w:rsid w:val="00972E62"/>
    <w:rsid w:val="00977C9D"/>
    <w:rsid w:val="00980425"/>
    <w:rsid w:val="009820CA"/>
    <w:rsid w:val="00995C38"/>
    <w:rsid w:val="009A30F5"/>
    <w:rsid w:val="009A4192"/>
    <w:rsid w:val="009A4F10"/>
    <w:rsid w:val="009B3183"/>
    <w:rsid w:val="009C06F7"/>
    <w:rsid w:val="009C4CF2"/>
    <w:rsid w:val="009C4D45"/>
    <w:rsid w:val="009D06E0"/>
    <w:rsid w:val="009E236B"/>
    <w:rsid w:val="009E6773"/>
    <w:rsid w:val="009F0D94"/>
    <w:rsid w:val="009F50A2"/>
    <w:rsid w:val="00A04D49"/>
    <w:rsid w:val="00A0512E"/>
    <w:rsid w:val="00A06DC7"/>
    <w:rsid w:val="00A1639B"/>
    <w:rsid w:val="00A24A4D"/>
    <w:rsid w:val="00A32253"/>
    <w:rsid w:val="00A33D5A"/>
    <w:rsid w:val="00A35350"/>
    <w:rsid w:val="00A518C2"/>
    <w:rsid w:val="00A5663B"/>
    <w:rsid w:val="00A60B01"/>
    <w:rsid w:val="00A62ACC"/>
    <w:rsid w:val="00A66F36"/>
    <w:rsid w:val="00A8235C"/>
    <w:rsid w:val="00A842FF"/>
    <w:rsid w:val="00A84C79"/>
    <w:rsid w:val="00A862B1"/>
    <w:rsid w:val="00A87558"/>
    <w:rsid w:val="00A87DE0"/>
    <w:rsid w:val="00A904D0"/>
    <w:rsid w:val="00A90B3F"/>
    <w:rsid w:val="00A9231C"/>
    <w:rsid w:val="00A96E09"/>
    <w:rsid w:val="00AA0A6C"/>
    <w:rsid w:val="00AA3A89"/>
    <w:rsid w:val="00AB2576"/>
    <w:rsid w:val="00AB6695"/>
    <w:rsid w:val="00AC0D27"/>
    <w:rsid w:val="00AC766E"/>
    <w:rsid w:val="00AD13AB"/>
    <w:rsid w:val="00AD417C"/>
    <w:rsid w:val="00AD6272"/>
    <w:rsid w:val="00AE341F"/>
    <w:rsid w:val="00AE611E"/>
    <w:rsid w:val="00AE7389"/>
    <w:rsid w:val="00AF66C4"/>
    <w:rsid w:val="00AF7DE7"/>
    <w:rsid w:val="00B01AB1"/>
    <w:rsid w:val="00B123D9"/>
    <w:rsid w:val="00B14597"/>
    <w:rsid w:val="00B156E8"/>
    <w:rsid w:val="00B16964"/>
    <w:rsid w:val="00B24B20"/>
    <w:rsid w:val="00B24CE3"/>
    <w:rsid w:val="00B24F28"/>
    <w:rsid w:val="00B25118"/>
    <w:rsid w:val="00B25CDE"/>
    <w:rsid w:val="00B27D47"/>
    <w:rsid w:val="00B30846"/>
    <w:rsid w:val="00B30EDC"/>
    <w:rsid w:val="00B343FA"/>
    <w:rsid w:val="00B37D49"/>
    <w:rsid w:val="00B40068"/>
    <w:rsid w:val="00B4362C"/>
    <w:rsid w:val="00B4479D"/>
    <w:rsid w:val="00B44B27"/>
    <w:rsid w:val="00B51E3D"/>
    <w:rsid w:val="00B5480D"/>
    <w:rsid w:val="00B555D0"/>
    <w:rsid w:val="00B61BDB"/>
    <w:rsid w:val="00B70C66"/>
    <w:rsid w:val="00B73A9A"/>
    <w:rsid w:val="00B86779"/>
    <w:rsid w:val="00B926D1"/>
    <w:rsid w:val="00B92A91"/>
    <w:rsid w:val="00B977C3"/>
    <w:rsid w:val="00BB1DBD"/>
    <w:rsid w:val="00BD105C"/>
    <w:rsid w:val="00BE04D8"/>
    <w:rsid w:val="00BE38D4"/>
    <w:rsid w:val="00BE52FC"/>
    <w:rsid w:val="00BE6103"/>
    <w:rsid w:val="00BF7928"/>
    <w:rsid w:val="00C0166C"/>
    <w:rsid w:val="00C04B0C"/>
    <w:rsid w:val="00C13744"/>
    <w:rsid w:val="00C1772E"/>
    <w:rsid w:val="00C2234A"/>
    <w:rsid w:val="00C2350C"/>
    <w:rsid w:val="00C243A1"/>
    <w:rsid w:val="00C31308"/>
    <w:rsid w:val="00C316FC"/>
    <w:rsid w:val="00C32A76"/>
    <w:rsid w:val="00C32FBB"/>
    <w:rsid w:val="00C332AD"/>
    <w:rsid w:val="00C43341"/>
    <w:rsid w:val="00C4571F"/>
    <w:rsid w:val="00C46534"/>
    <w:rsid w:val="00C520CF"/>
    <w:rsid w:val="00C52547"/>
    <w:rsid w:val="00C55583"/>
    <w:rsid w:val="00C729A1"/>
    <w:rsid w:val="00C77FA6"/>
    <w:rsid w:val="00C80445"/>
    <w:rsid w:val="00C83F4F"/>
    <w:rsid w:val="00C864D7"/>
    <w:rsid w:val="00C90057"/>
    <w:rsid w:val="00CA0D5A"/>
    <w:rsid w:val="00CA1AE3"/>
    <w:rsid w:val="00CA3674"/>
    <w:rsid w:val="00CB1E4C"/>
    <w:rsid w:val="00CB7C4D"/>
    <w:rsid w:val="00CC22AC"/>
    <w:rsid w:val="00CC3455"/>
    <w:rsid w:val="00CC59F5"/>
    <w:rsid w:val="00CC62E9"/>
    <w:rsid w:val="00CC7E45"/>
    <w:rsid w:val="00CD13E7"/>
    <w:rsid w:val="00CD3CE2"/>
    <w:rsid w:val="00CD6D05"/>
    <w:rsid w:val="00CE0328"/>
    <w:rsid w:val="00CE0CB1"/>
    <w:rsid w:val="00CE5FF4"/>
    <w:rsid w:val="00CF0E8A"/>
    <w:rsid w:val="00CF6473"/>
    <w:rsid w:val="00CF7074"/>
    <w:rsid w:val="00D0058D"/>
    <w:rsid w:val="00D00AC1"/>
    <w:rsid w:val="00D00CFB"/>
    <w:rsid w:val="00D01C51"/>
    <w:rsid w:val="00D04F1F"/>
    <w:rsid w:val="00D10742"/>
    <w:rsid w:val="00D11B9D"/>
    <w:rsid w:val="00D14800"/>
    <w:rsid w:val="00D17E09"/>
    <w:rsid w:val="00D40D50"/>
    <w:rsid w:val="00D4303F"/>
    <w:rsid w:val="00D43376"/>
    <w:rsid w:val="00D4455A"/>
    <w:rsid w:val="00D53C47"/>
    <w:rsid w:val="00D7519B"/>
    <w:rsid w:val="00D77D76"/>
    <w:rsid w:val="00D83B62"/>
    <w:rsid w:val="00D9340A"/>
    <w:rsid w:val="00D93DCC"/>
    <w:rsid w:val="00DA14A2"/>
    <w:rsid w:val="00DA2AB5"/>
    <w:rsid w:val="00DA5411"/>
    <w:rsid w:val="00DA59FF"/>
    <w:rsid w:val="00DB1DB9"/>
    <w:rsid w:val="00DB24CA"/>
    <w:rsid w:val="00DB2FC8"/>
    <w:rsid w:val="00DC64B0"/>
    <w:rsid w:val="00DD1D03"/>
    <w:rsid w:val="00DD2AA1"/>
    <w:rsid w:val="00DD7797"/>
    <w:rsid w:val="00DD7ED9"/>
    <w:rsid w:val="00DE3DAF"/>
    <w:rsid w:val="00DE62F3"/>
    <w:rsid w:val="00DF27F7"/>
    <w:rsid w:val="00DF3E94"/>
    <w:rsid w:val="00DF4614"/>
    <w:rsid w:val="00DF7B7B"/>
    <w:rsid w:val="00E018A8"/>
    <w:rsid w:val="00E16B7C"/>
    <w:rsid w:val="00E206BA"/>
    <w:rsid w:val="00E22772"/>
    <w:rsid w:val="00E2431C"/>
    <w:rsid w:val="00E3047F"/>
    <w:rsid w:val="00E3222F"/>
    <w:rsid w:val="00E357D4"/>
    <w:rsid w:val="00E35F54"/>
    <w:rsid w:val="00E40395"/>
    <w:rsid w:val="00E40D94"/>
    <w:rsid w:val="00E429AD"/>
    <w:rsid w:val="00E55813"/>
    <w:rsid w:val="00E70687"/>
    <w:rsid w:val="00E72589"/>
    <w:rsid w:val="00E776F1"/>
    <w:rsid w:val="00E873E6"/>
    <w:rsid w:val="00E90907"/>
    <w:rsid w:val="00E922F5"/>
    <w:rsid w:val="00EA0204"/>
    <w:rsid w:val="00EA36C5"/>
    <w:rsid w:val="00EC685C"/>
    <w:rsid w:val="00EC79CC"/>
    <w:rsid w:val="00ED0C27"/>
    <w:rsid w:val="00ED409C"/>
    <w:rsid w:val="00EE0F94"/>
    <w:rsid w:val="00EE46B9"/>
    <w:rsid w:val="00EE5A5F"/>
    <w:rsid w:val="00EE6171"/>
    <w:rsid w:val="00EE65BD"/>
    <w:rsid w:val="00EE749B"/>
    <w:rsid w:val="00EF2A85"/>
    <w:rsid w:val="00EF5990"/>
    <w:rsid w:val="00EF66B1"/>
    <w:rsid w:val="00EF76A9"/>
    <w:rsid w:val="00F02B8E"/>
    <w:rsid w:val="00F04B17"/>
    <w:rsid w:val="00F071B9"/>
    <w:rsid w:val="00F21A91"/>
    <w:rsid w:val="00F21B29"/>
    <w:rsid w:val="00F22DDC"/>
    <w:rsid w:val="00F23282"/>
    <w:rsid w:val="00F239E9"/>
    <w:rsid w:val="00F255CE"/>
    <w:rsid w:val="00F262A3"/>
    <w:rsid w:val="00F42CC8"/>
    <w:rsid w:val="00F54D2B"/>
    <w:rsid w:val="00F62786"/>
    <w:rsid w:val="00F64D51"/>
    <w:rsid w:val="00F736BA"/>
    <w:rsid w:val="00F80939"/>
    <w:rsid w:val="00F84821"/>
    <w:rsid w:val="00F926CD"/>
    <w:rsid w:val="00F97D08"/>
    <w:rsid w:val="00FA015E"/>
    <w:rsid w:val="00FA55E7"/>
    <w:rsid w:val="00FA673E"/>
    <w:rsid w:val="00FB1A46"/>
    <w:rsid w:val="00FC61EC"/>
    <w:rsid w:val="00FC692B"/>
    <w:rsid w:val="00FD6896"/>
    <w:rsid w:val="00FD6FD9"/>
    <w:rsid w:val="00FE20EF"/>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basedOn w:val="a0"/>
    <w:link w:val="Charb"/>
    <w:uiPriority w:val="99"/>
    <w:semiHidden/>
    <w:unhideWhenUsed/>
    <w:rsid w:val="007A469B"/>
    <w:pPr>
      <w:spacing w:after="0" w:line="240" w:lineRule="auto"/>
    </w:pPr>
    <w:rPr>
      <w:sz w:val="20"/>
      <w:szCs w:val="20"/>
    </w:rPr>
  </w:style>
  <w:style w:type="character" w:customStyle="1" w:styleId="Charb">
    <w:name w:val="Κείμενο υποσημείωσης Char"/>
    <w:basedOn w:val="a1"/>
    <w:link w:val="af8"/>
    <w:uiPriority w:val="99"/>
    <w:semiHidden/>
    <w:rsid w:val="007A469B"/>
    <w:rPr>
      <w:rFonts w:ascii="Cambria" w:hAnsi="Cambria"/>
      <w:color w:val="000000"/>
    </w:rPr>
  </w:style>
  <w:style w:type="character" w:styleId="af9">
    <w:name w:val="footnote reference"/>
    <w:basedOn w:val="a1"/>
    <w:uiPriority w:val="99"/>
    <w:semiHidden/>
    <w:unhideWhenUsed/>
    <w:rsid w:val="007A469B"/>
    <w:rPr>
      <w:vertAlign w:val="superscript"/>
    </w:rPr>
  </w:style>
  <w:style w:type="paragraph" w:customStyle="1" w:styleId="Default">
    <w:name w:val="Default"/>
    <w:rsid w:val="004D460B"/>
    <w:pPr>
      <w:autoSpaceDE w:val="0"/>
      <w:autoSpaceDN w:val="0"/>
      <w:adjustRightInd w:val="0"/>
    </w:pPr>
    <w:rPr>
      <w:rFonts w:ascii="Tahoma" w:eastAsiaTheme="minorHAnsi"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946936">
      <w:bodyDiv w:val="1"/>
      <w:marLeft w:val="0"/>
      <w:marRight w:val="0"/>
      <w:marTop w:val="0"/>
      <w:marBottom w:val="0"/>
      <w:divBdr>
        <w:top w:val="none" w:sz="0" w:space="0" w:color="auto"/>
        <w:left w:val="none" w:sz="0" w:space="0" w:color="auto"/>
        <w:bottom w:val="none" w:sz="0" w:space="0" w:color="auto"/>
        <w:right w:val="none" w:sz="0" w:space="0" w:color="auto"/>
      </w:divBdr>
      <w:divsChild>
        <w:div w:id="1196042740">
          <w:marLeft w:val="0"/>
          <w:marRight w:val="0"/>
          <w:marTop w:val="0"/>
          <w:marBottom w:val="60"/>
          <w:divBdr>
            <w:top w:val="none" w:sz="0" w:space="0" w:color="auto"/>
            <w:left w:val="none" w:sz="0" w:space="0" w:color="auto"/>
            <w:bottom w:val="none" w:sz="0" w:space="0" w:color="auto"/>
            <w:right w:val="none" w:sz="0" w:space="0" w:color="auto"/>
          </w:divBdr>
          <w:divsChild>
            <w:div w:id="1960139794">
              <w:marLeft w:val="0"/>
              <w:marRight w:val="0"/>
              <w:marTop w:val="0"/>
              <w:marBottom w:val="0"/>
              <w:divBdr>
                <w:top w:val="none" w:sz="0" w:space="0" w:color="auto"/>
                <w:left w:val="none" w:sz="0" w:space="0" w:color="auto"/>
                <w:bottom w:val="none" w:sz="0" w:space="0" w:color="auto"/>
                <w:right w:val="none" w:sz="0" w:space="0" w:color="auto"/>
              </w:divBdr>
            </w:div>
          </w:divsChild>
        </w:div>
        <w:div w:id="2119720059">
          <w:marLeft w:val="60"/>
          <w:marRight w:val="0"/>
          <w:marTop w:val="0"/>
          <w:marBottom w:val="60"/>
          <w:divBdr>
            <w:top w:val="none" w:sz="0" w:space="0" w:color="auto"/>
            <w:left w:val="none" w:sz="0" w:space="0" w:color="auto"/>
            <w:bottom w:val="none" w:sz="0" w:space="0" w:color="auto"/>
            <w:right w:val="none" w:sz="0" w:space="0" w:color="auto"/>
          </w:divBdr>
        </w:div>
        <w:div w:id="1954510784">
          <w:marLeft w:val="60"/>
          <w:marRight w:val="0"/>
          <w:marTop w:val="0"/>
          <w:marBottom w:val="60"/>
          <w:divBdr>
            <w:top w:val="none" w:sz="0" w:space="0" w:color="auto"/>
            <w:left w:val="none" w:sz="0" w:space="0" w:color="auto"/>
            <w:bottom w:val="none" w:sz="0" w:space="0" w:color="auto"/>
            <w:right w:val="none" w:sz="0" w:space="0" w:color="auto"/>
          </w:divBdr>
        </w:div>
        <w:div w:id="510492362">
          <w:marLeft w:val="0"/>
          <w:marRight w:val="0"/>
          <w:marTop w:val="0"/>
          <w:marBottom w:val="0"/>
          <w:divBdr>
            <w:top w:val="none" w:sz="0" w:space="0" w:color="auto"/>
            <w:left w:val="none" w:sz="0" w:space="0" w:color="auto"/>
            <w:bottom w:val="none" w:sz="0" w:space="0" w:color="auto"/>
            <w:right w:val="none" w:sz="0" w:space="0" w:color="auto"/>
          </w:divBdr>
        </w:div>
        <w:div w:id="1242791827">
          <w:marLeft w:val="0"/>
          <w:marRight w:val="0"/>
          <w:marTop w:val="0"/>
          <w:marBottom w:val="0"/>
          <w:divBdr>
            <w:top w:val="none" w:sz="0" w:space="0" w:color="auto"/>
            <w:left w:val="none" w:sz="0" w:space="0" w:color="auto"/>
            <w:bottom w:val="none" w:sz="0" w:space="0" w:color="auto"/>
            <w:right w:val="none" w:sz="0" w:space="0" w:color="auto"/>
          </w:divBdr>
          <w:divsChild>
            <w:div w:id="1039546535">
              <w:marLeft w:val="150"/>
              <w:marRight w:val="150"/>
              <w:marTop w:val="150"/>
              <w:marBottom w:val="150"/>
              <w:divBdr>
                <w:top w:val="none" w:sz="0" w:space="0" w:color="auto"/>
                <w:left w:val="none" w:sz="0" w:space="0" w:color="auto"/>
                <w:bottom w:val="none" w:sz="0" w:space="0" w:color="auto"/>
                <w:right w:val="none" w:sz="0" w:space="0" w:color="auto"/>
              </w:divBdr>
            </w:div>
            <w:div w:id="1947806228">
              <w:marLeft w:val="150"/>
              <w:marRight w:val="150"/>
              <w:marTop w:val="150"/>
              <w:marBottom w:val="150"/>
              <w:divBdr>
                <w:top w:val="none" w:sz="0" w:space="0" w:color="auto"/>
                <w:left w:val="none" w:sz="0" w:space="0" w:color="auto"/>
                <w:bottom w:val="none" w:sz="0" w:space="0" w:color="auto"/>
                <w:right w:val="none" w:sz="0" w:space="0" w:color="auto"/>
              </w:divBdr>
            </w:div>
            <w:div w:id="1206410625">
              <w:marLeft w:val="150"/>
              <w:marRight w:val="150"/>
              <w:marTop w:val="150"/>
              <w:marBottom w:val="150"/>
              <w:divBdr>
                <w:top w:val="none" w:sz="0" w:space="0" w:color="auto"/>
                <w:left w:val="none" w:sz="0" w:space="0" w:color="auto"/>
                <w:bottom w:val="none" w:sz="0" w:space="0" w:color="auto"/>
                <w:right w:val="none" w:sz="0" w:space="0" w:color="auto"/>
              </w:divBdr>
            </w:div>
            <w:div w:id="1203322187">
              <w:marLeft w:val="150"/>
              <w:marRight w:val="150"/>
              <w:marTop w:val="150"/>
              <w:marBottom w:val="150"/>
              <w:divBdr>
                <w:top w:val="none" w:sz="0" w:space="0" w:color="auto"/>
                <w:left w:val="none" w:sz="0" w:space="0" w:color="auto"/>
                <w:bottom w:val="none" w:sz="0" w:space="0" w:color="auto"/>
                <w:right w:val="none" w:sz="0" w:space="0" w:color="auto"/>
              </w:divBdr>
            </w:div>
            <w:div w:id="1855996128">
              <w:marLeft w:val="150"/>
              <w:marRight w:val="150"/>
              <w:marTop w:val="150"/>
              <w:marBottom w:val="150"/>
              <w:divBdr>
                <w:top w:val="none" w:sz="0" w:space="0" w:color="auto"/>
                <w:left w:val="none" w:sz="0" w:space="0" w:color="auto"/>
                <w:bottom w:val="none" w:sz="0" w:space="0" w:color="auto"/>
                <w:right w:val="none" w:sz="0" w:space="0" w:color="auto"/>
              </w:divBdr>
            </w:div>
            <w:div w:id="1628858061">
              <w:marLeft w:val="150"/>
              <w:marRight w:val="150"/>
              <w:marTop w:val="150"/>
              <w:marBottom w:val="150"/>
              <w:divBdr>
                <w:top w:val="none" w:sz="0" w:space="0" w:color="auto"/>
                <w:left w:val="none" w:sz="0" w:space="0" w:color="auto"/>
                <w:bottom w:val="none" w:sz="0" w:space="0" w:color="auto"/>
                <w:right w:val="none" w:sz="0" w:space="0" w:color="auto"/>
              </w:divBdr>
            </w:div>
            <w:div w:id="184484918">
              <w:marLeft w:val="0"/>
              <w:marRight w:val="0"/>
              <w:marTop w:val="0"/>
              <w:marBottom w:val="0"/>
              <w:divBdr>
                <w:top w:val="none" w:sz="0" w:space="0" w:color="auto"/>
                <w:left w:val="none" w:sz="0" w:space="0" w:color="auto"/>
                <w:bottom w:val="none" w:sz="0" w:space="0" w:color="auto"/>
                <w:right w:val="none" w:sz="0" w:space="0" w:color="auto"/>
              </w:divBdr>
              <w:divsChild>
                <w:div w:id="353312160">
                  <w:marLeft w:val="0"/>
                  <w:marRight w:val="0"/>
                  <w:marTop w:val="0"/>
                  <w:marBottom w:val="0"/>
                  <w:divBdr>
                    <w:top w:val="none" w:sz="0" w:space="0" w:color="auto"/>
                    <w:left w:val="none" w:sz="0" w:space="0" w:color="auto"/>
                    <w:bottom w:val="none" w:sz="0" w:space="0" w:color="auto"/>
                    <w:right w:val="none" w:sz="0" w:space="0" w:color="auto"/>
                  </w:divBdr>
                  <w:divsChild>
                    <w:div w:id="1577393789">
                      <w:marLeft w:val="0"/>
                      <w:marRight w:val="0"/>
                      <w:marTop w:val="0"/>
                      <w:marBottom w:val="195"/>
                      <w:divBdr>
                        <w:top w:val="single" w:sz="2" w:space="5" w:color="B2B2B2"/>
                        <w:left w:val="single" w:sz="2" w:space="3" w:color="B2B2B2"/>
                        <w:bottom w:val="single" w:sz="2" w:space="5" w:color="B2B2B2"/>
                        <w:right w:val="single" w:sz="2" w:space="5" w:color="B2B2B2"/>
                      </w:divBdr>
                      <w:divsChild>
                        <w:div w:id="1747922560">
                          <w:marLeft w:val="0"/>
                          <w:marRight w:val="0"/>
                          <w:marTop w:val="0"/>
                          <w:marBottom w:val="0"/>
                          <w:divBdr>
                            <w:top w:val="none" w:sz="0" w:space="0" w:color="auto"/>
                            <w:left w:val="none" w:sz="0" w:space="0" w:color="auto"/>
                            <w:bottom w:val="none" w:sz="0" w:space="0" w:color="auto"/>
                            <w:right w:val="none" w:sz="0" w:space="0" w:color="auto"/>
                          </w:divBdr>
                        </w:div>
                        <w:div w:id="1911187208">
                          <w:marLeft w:val="0"/>
                          <w:marRight w:val="0"/>
                          <w:marTop w:val="0"/>
                          <w:marBottom w:val="0"/>
                          <w:divBdr>
                            <w:top w:val="none" w:sz="0" w:space="0" w:color="auto"/>
                            <w:left w:val="none" w:sz="0" w:space="0" w:color="auto"/>
                            <w:bottom w:val="none" w:sz="0" w:space="0" w:color="auto"/>
                            <w:right w:val="none" w:sz="0" w:space="0" w:color="auto"/>
                          </w:divBdr>
                        </w:div>
                        <w:div w:id="1273585026">
                          <w:marLeft w:val="0"/>
                          <w:marRight w:val="0"/>
                          <w:marTop w:val="0"/>
                          <w:marBottom w:val="0"/>
                          <w:divBdr>
                            <w:top w:val="none" w:sz="0" w:space="0" w:color="auto"/>
                            <w:left w:val="none" w:sz="0" w:space="0" w:color="auto"/>
                            <w:bottom w:val="none" w:sz="0" w:space="0" w:color="auto"/>
                            <w:right w:val="none" w:sz="0" w:space="0" w:color="auto"/>
                          </w:divBdr>
                        </w:div>
                      </w:divsChild>
                    </w:div>
                    <w:div w:id="1441726816">
                      <w:marLeft w:val="0"/>
                      <w:marRight w:val="0"/>
                      <w:marTop w:val="0"/>
                      <w:marBottom w:val="0"/>
                      <w:divBdr>
                        <w:top w:val="none" w:sz="0" w:space="0" w:color="auto"/>
                        <w:left w:val="none" w:sz="0" w:space="0" w:color="auto"/>
                        <w:bottom w:val="none" w:sz="0" w:space="0" w:color="auto"/>
                        <w:right w:val="none" w:sz="0" w:space="0" w:color="auto"/>
                      </w:divBdr>
                      <w:divsChild>
                        <w:div w:id="1912888502">
                          <w:marLeft w:val="0"/>
                          <w:marRight w:val="0"/>
                          <w:marTop w:val="0"/>
                          <w:marBottom w:val="0"/>
                          <w:divBdr>
                            <w:top w:val="none" w:sz="0" w:space="0" w:color="auto"/>
                            <w:left w:val="none" w:sz="0" w:space="0" w:color="auto"/>
                            <w:bottom w:val="none" w:sz="0" w:space="0" w:color="auto"/>
                            <w:right w:val="none" w:sz="0" w:space="0" w:color="auto"/>
                          </w:divBdr>
                          <w:divsChild>
                            <w:div w:id="141120507">
                              <w:marLeft w:val="0"/>
                              <w:marRight w:val="0"/>
                              <w:marTop w:val="0"/>
                              <w:marBottom w:val="195"/>
                              <w:divBdr>
                                <w:top w:val="single" w:sz="2" w:space="5" w:color="B2B2B2"/>
                                <w:left w:val="single" w:sz="2" w:space="3" w:color="B2B2B2"/>
                                <w:bottom w:val="single" w:sz="2" w:space="5" w:color="B2B2B2"/>
                                <w:right w:val="single" w:sz="2" w:space="5" w:color="B2B2B2"/>
                              </w:divBdr>
                              <w:divsChild>
                                <w:div w:id="88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68006">
                      <w:marLeft w:val="0"/>
                      <w:marRight w:val="0"/>
                      <w:marTop w:val="0"/>
                      <w:marBottom w:val="0"/>
                      <w:divBdr>
                        <w:top w:val="none" w:sz="0" w:space="0" w:color="auto"/>
                        <w:left w:val="none" w:sz="0" w:space="0" w:color="auto"/>
                        <w:bottom w:val="none" w:sz="0" w:space="0" w:color="auto"/>
                        <w:right w:val="none" w:sz="0" w:space="0" w:color="auto"/>
                      </w:divBdr>
                      <w:divsChild>
                        <w:div w:id="727193487">
                          <w:marLeft w:val="0"/>
                          <w:marRight w:val="0"/>
                          <w:marTop w:val="0"/>
                          <w:marBottom w:val="0"/>
                          <w:divBdr>
                            <w:top w:val="none" w:sz="0" w:space="0" w:color="auto"/>
                            <w:left w:val="none" w:sz="0" w:space="0" w:color="auto"/>
                            <w:bottom w:val="none" w:sz="0" w:space="0" w:color="auto"/>
                            <w:right w:val="none" w:sz="0" w:space="0" w:color="auto"/>
                          </w:divBdr>
                          <w:divsChild>
                            <w:div w:id="255287851">
                              <w:marLeft w:val="0"/>
                              <w:marRight w:val="0"/>
                              <w:marTop w:val="0"/>
                              <w:marBottom w:val="195"/>
                              <w:divBdr>
                                <w:top w:val="single" w:sz="2" w:space="5" w:color="B2B2B2"/>
                                <w:left w:val="single" w:sz="2" w:space="3" w:color="B2B2B2"/>
                                <w:bottom w:val="single" w:sz="2" w:space="5" w:color="B2B2B2"/>
                                <w:right w:val="single" w:sz="2" w:space="5" w:color="B2B2B2"/>
                              </w:divBdr>
                              <w:divsChild>
                                <w:div w:id="12792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89441">
              <w:marLeft w:val="0"/>
              <w:marRight w:val="0"/>
              <w:marTop w:val="0"/>
              <w:marBottom w:val="0"/>
              <w:divBdr>
                <w:top w:val="none" w:sz="0" w:space="0" w:color="auto"/>
                <w:left w:val="none" w:sz="0" w:space="0" w:color="auto"/>
                <w:bottom w:val="none" w:sz="0" w:space="0" w:color="auto"/>
                <w:right w:val="none" w:sz="0" w:space="0" w:color="auto"/>
              </w:divBdr>
              <w:divsChild>
                <w:div w:id="725878309">
                  <w:marLeft w:val="0"/>
                  <w:marRight w:val="0"/>
                  <w:marTop w:val="0"/>
                  <w:marBottom w:val="0"/>
                  <w:divBdr>
                    <w:top w:val="none" w:sz="0" w:space="0" w:color="auto"/>
                    <w:left w:val="none" w:sz="0" w:space="0" w:color="auto"/>
                    <w:bottom w:val="none" w:sz="0" w:space="0" w:color="auto"/>
                    <w:right w:val="none" w:sz="0" w:space="0" w:color="auto"/>
                  </w:divBdr>
                  <w:divsChild>
                    <w:div w:id="1261987962">
                      <w:marLeft w:val="0"/>
                      <w:marRight w:val="0"/>
                      <w:marTop w:val="0"/>
                      <w:marBottom w:val="195"/>
                      <w:divBdr>
                        <w:top w:val="single" w:sz="2" w:space="5" w:color="B2B2B2"/>
                        <w:left w:val="single" w:sz="2" w:space="3" w:color="B2B2B2"/>
                        <w:bottom w:val="single" w:sz="2" w:space="5" w:color="B2B2B2"/>
                        <w:right w:val="single" w:sz="2" w:space="5" w:color="B2B2B2"/>
                      </w:divBdr>
                      <w:divsChild>
                        <w:div w:id="250702393">
                          <w:marLeft w:val="0"/>
                          <w:marRight w:val="0"/>
                          <w:marTop w:val="0"/>
                          <w:marBottom w:val="0"/>
                          <w:divBdr>
                            <w:top w:val="none" w:sz="0" w:space="0" w:color="auto"/>
                            <w:left w:val="none" w:sz="0" w:space="0" w:color="auto"/>
                            <w:bottom w:val="none" w:sz="0" w:space="0" w:color="auto"/>
                            <w:right w:val="none" w:sz="0" w:space="0" w:color="auto"/>
                          </w:divBdr>
                        </w:div>
                        <w:div w:id="1111508363">
                          <w:marLeft w:val="0"/>
                          <w:marRight w:val="0"/>
                          <w:marTop w:val="0"/>
                          <w:marBottom w:val="0"/>
                          <w:divBdr>
                            <w:top w:val="none" w:sz="0" w:space="0" w:color="auto"/>
                            <w:left w:val="none" w:sz="0" w:space="0" w:color="auto"/>
                            <w:bottom w:val="none" w:sz="0" w:space="0" w:color="auto"/>
                            <w:right w:val="none" w:sz="0" w:space="0" w:color="auto"/>
                          </w:divBdr>
                        </w:div>
                        <w:div w:id="106970602">
                          <w:marLeft w:val="0"/>
                          <w:marRight w:val="0"/>
                          <w:marTop w:val="0"/>
                          <w:marBottom w:val="0"/>
                          <w:divBdr>
                            <w:top w:val="none" w:sz="0" w:space="0" w:color="auto"/>
                            <w:left w:val="none" w:sz="0" w:space="0" w:color="auto"/>
                            <w:bottom w:val="none" w:sz="0" w:space="0" w:color="auto"/>
                            <w:right w:val="none" w:sz="0" w:space="0" w:color="auto"/>
                          </w:divBdr>
                        </w:div>
                      </w:divsChild>
                    </w:div>
                    <w:div w:id="593708326">
                      <w:marLeft w:val="0"/>
                      <w:marRight w:val="0"/>
                      <w:marTop w:val="0"/>
                      <w:marBottom w:val="0"/>
                      <w:divBdr>
                        <w:top w:val="none" w:sz="0" w:space="0" w:color="auto"/>
                        <w:left w:val="none" w:sz="0" w:space="0" w:color="auto"/>
                        <w:bottom w:val="none" w:sz="0" w:space="0" w:color="auto"/>
                        <w:right w:val="none" w:sz="0" w:space="0" w:color="auto"/>
                      </w:divBdr>
                      <w:divsChild>
                        <w:div w:id="1164080257">
                          <w:marLeft w:val="0"/>
                          <w:marRight w:val="0"/>
                          <w:marTop w:val="0"/>
                          <w:marBottom w:val="0"/>
                          <w:divBdr>
                            <w:top w:val="none" w:sz="0" w:space="0" w:color="auto"/>
                            <w:left w:val="none" w:sz="0" w:space="0" w:color="auto"/>
                            <w:bottom w:val="none" w:sz="0" w:space="0" w:color="auto"/>
                            <w:right w:val="none" w:sz="0" w:space="0" w:color="auto"/>
                          </w:divBdr>
                          <w:divsChild>
                            <w:div w:id="1964263027">
                              <w:marLeft w:val="0"/>
                              <w:marRight w:val="0"/>
                              <w:marTop w:val="0"/>
                              <w:marBottom w:val="195"/>
                              <w:divBdr>
                                <w:top w:val="single" w:sz="2" w:space="5" w:color="B2B2B2"/>
                                <w:left w:val="single" w:sz="2" w:space="3" w:color="B2B2B2"/>
                                <w:bottom w:val="single" w:sz="2" w:space="5" w:color="B2B2B2"/>
                                <w:right w:val="single" w:sz="2" w:space="5" w:color="B2B2B2"/>
                              </w:divBdr>
                              <w:divsChild>
                                <w:div w:id="9700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63583">
                      <w:marLeft w:val="0"/>
                      <w:marRight w:val="0"/>
                      <w:marTop w:val="0"/>
                      <w:marBottom w:val="0"/>
                      <w:divBdr>
                        <w:top w:val="none" w:sz="0" w:space="0" w:color="auto"/>
                        <w:left w:val="none" w:sz="0" w:space="0" w:color="auto"/>
                        <w:bottom w:val="none" w:sz="0" w:space="0" w:color="auto"/>
                        <w:right w:val="none" w:sz="0" w:space="0" w:color="auto"/>
                      </w:divBdr>
                      <w:divsChild>
                        <w:div w:id="1159155219">
                          <w:marLeft w:val="0"/>
                          <w:marRight w:val="0"/>
                          <w:marTop w:val="0"/>
                          <w:marBottom w:val="0"/>
                          <w:divBdr>
                            <w:top w:val="none" w:sz="0" w:space="0" w:color="auto"/>
                            <w:left w:val="none" w:sz="0" w:space="0" w:color="auto"/>
                            <w:bottom w:val="none" w:sz="0" w:space="0" w:color="auto"/>
                            <w:right w:val="none" w:sz="0" w:space="0" w:color="auto"/>
                          </w:divBdr>
                          <w:divsChild>
                            <w:div w:id="463276728">
                              <w:marLeft w:val="0"/>
                              <w:marRight w:val="0"/>
                              <w:marTop w:val="0"/>
                              <w:marBottom w:val="195"/>
                              <w:divBdr>
                                <w:top w:val="single" w:sz="2" w:space="5" w:color="B2B2B2"/>
                                <w:left w:val="single" w:sz="2" w:space="3" w:color="B2B2B2"/>
                                <w:bottom w:val="single" w:sz="2" w:space="5" w:color="B2B2B2"/>
                                <w:right w:val="single" w:sz="2" w:space="5" w:color="B2B2B2"/>
                              </w:divBdr>
                              <w:divsChild>
                                <w:div w:id="18223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452789">
              <w:marLeft w:val="0"/>
              <w:marRight w:val="0"/>
              <w:marTop w:val="0"/>
              <w:marBottom w:val="0"/>
              <w:divBdr>
                <w:top w:val="none" w:sz="0" w:space="0" w:color="auto"/>
                <w:left w:val="none" w:sz="0" w:space="0" w:color="auto"/>
                <w:bottom w:val="none" w:sz="0" w:space="0" w:color="auto"/>
                <w:right w:val="none" w:sz="0" w:space="0" w:color="auto"/>
              </w:divBdr>
              <w:divsChild>
                <w:div w:id="33700581">
                  <w:marLeft w:val="0"/>
                  <w:marRight w:val="0"/>
                  <w:marTop w:val="0"/>
                  <w:marBottom w:val="0"/>
                  <w:divBdr>
                    <w:top w:val="none" w:sz="0" w:space="0" w:color="auto"/>
                    <w:left w:val="none" w:sz="0" w:space="0" w:color="auto"/>
                    <w:bottom w:val="none" w:sz="0" w:space="0" w:color="auto"/>
                    <w:right w:val="none" w:sz="0" w:space="0" w:color="auto"/>
                  </w:divBdr>
                  <w:divsChild>
                    <w:div w:id="175341369">
                      <w:marLeft w:val="0"/>
                      <w:marRight w:val="0"/>
                      <w:marTop w:val="0"/>
                      <w:marBottom w:val="195"/>
                      <w:divBdr>
                        <w:top w:val="single" w:sz="2" w:space="5" w:color="B2B2B2"/>
                        <w:left w:val="single" w:sz="2" w:space="3" w:color="B2B2B2"/>
                        <w:bottom w:val="single" w:sz="2" w:space="5" w:color="B2B2B2"/>
                        <w:right w:val="single" w:sz="2" w:space="5" w:color="B2B2B2"/>
                      </w:divBdr>
                      <w:divsChild>
                        <w:div w:id="1986470650">
                          <w:marLeft w:val="0"/>
                          <w:marRight w:val="0"/>
                          <w:marTop w:val="0"/>
                          <w:marBottom w:val="0"/>
                          <w:divBdr>
                            <w:top w:val="none" w:sz="0" w:space="0" w:color="auto"/>
                            <w:left w:val="none" w:sz="0" w:space="0" w:color="auto"/>
                            <w:bottom w:val="none" w:sz="0" w:space="0" w:color="auto"/>
                            <w:right w:val="none" w:sz="0" w:space="0" w:color="auto"/>
                          </w:divBdr>
                        </w:div>
                        <w:div w:id="1839035076">
                          <w:marLeft w:val="0"/>
                          <w:marRight w:val="0"/>
                          <w:marTop w:val="0"/>
                          <w:marBottom w:val="0"/>
                          <w:divBdr>
                            <w:top w:val="none" w:sz="0" w:space="0" w:color="auto"/>
                            <w:left w:val="none" w:sz="0" w:space="0" w:color="auto"/>
                            <w:bottom w:val="none" w:sz="0" w:space="0" w:color="auto"/>
                            <w:right w:val="none" w:sz="0" w:space="0" w:color="auto"/>
                          </w:divBdr>
                        </w:div>
                        <w:div w:id="1883903511">
                          <w:marLeft w:val="0"/>
                          <w:marRight w:val="0"/>
                          <w:marTop w:val="0"/>
                          <w:marBottom w:val="0"/>
                          <w:divBdr>
                            <w:top w:val="none" w:sz="0" w:space="0" w:color="auto"/>
                            <w:left w:val="none" w:sz="0" w:space="0" w:color="auto"/>
                            <w:bottom w:val="none" w:sz="0" w:space="0" w:color="auto"/>
                            <w:right w:val="none" w:sz="0" w:space="0" w:color="auto"/>
                          </w:divBdr>
                        </w:div>
                      </w:divsChild>
                    </w:div>
                    <w:div w:id="1657109198">
                      <w:marLeft w:val="0"/>
                      <w:marRight w:val="0"/>
                      <w:marTop w:val="0"/>
                      <w:marBottom w:val="0"/>
                      <w:divBdr>
                        <w:top w:val="none" w:sz="0" w:space="0" w:color="auto"/>
                        <w:left w:val="none" w:sz="0" w:space="0" w:color="auto"/>
                        <w:bottom w:val="none" w:sz="0" w:space="0" w:color="auto"/>
                        <w:right w:val="none" w:sz="0" w:space="0" w:color="auto"/>
                      </w:divBdr>
                      <w:divsChild>
                        <w:div w:id="1597859149">
                          <w:marLeft w:val="0"/>
                          <w:marRight w:val="0"/>
                          <w:marTop w:val="0"/>
                          <w:marBottom w:val="0"/>
                          <w:divBdr>
                            <w:top w:val="none" w:sz="0" w:space="0" w:color="auto"/>
                            <w:left w:val="none" w:sz="0" w:space="0" w:color="auto"/>
                            <w:bottom w:val="none" w:sz="0" w:space="0" w:color="auto"/>
                            <w:right w:val="none" w:sz="0" w:space="0" w:color="auto"/>
                          </w:divBdr>
                          <w:divsChild>
                            <w:div w:id="1465659251">
                              <w:marLeft w:val="0"/>
                              <w:marRight w:val="0"/>
                              <w:marTop w:val="0"/>
                              <w:marBottom w:val="195"/>
                              <w:divBdr>
                                <w:top w:val="single" w:sz="2" w:space="5" w:color="B2B2B2"/>
                                <w:left w:val="single" w:sz="2" w:space="3" w:color="B2B2B2"/>
                                <w:bottom w:val="single" w:sz="2" w:space="5" w:color="B2B2B2"/>
                                <w:right w:val="single" w:sz="2" w:space="5" w:color="B2B2B2"/>
                              </w:divBdr>
                              <w:divsChild>
                                <w:div w:id="16672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4814">
                      <w:marLeft w:val="0"/>
                      <w:marRight w:val="0"/>
                      <w:marTop w:val="0"/>
                      <w:marBottom w:val="0"/>
                      <w:divBdr>
                        <w:top w:val="none" w:sz="0" w:space="0" w:color="auto"/>
                        <w:left w:val="none" w:sz="0" w:space="0" w:color="auto"/>
                        <w:bottom w:val="none" w:sz="0" w:space="0" w:color="auto"/>
                        <w:right w:val="none" w:sz="0" w:space="0" w:color="auto"/>
                      </w:divBdr>
                      <w:divsChild>
                        <w:div w:id="335959887">
                          <w:marLeft w:val="0"/>
                          <w:marRight w:val="0"/>
                          <w:marTop w:val="0"/>
                          <w:marBottom w:val="0"/>
                          <w:divBdr>
                            <w:top w:val="none" w:sz="0" w:space="0" w:color="auto"/>
                            <w:left w:val="none" w:sz="0" w:space="0" w:color="auto"/>
                            <w:bottom w:val="none" w:sz="0" w:space="0" w:color="auto"/>
                            <w:right w:val="none" w:sz="0" w:space="0" w:color="auto"/>
                          </w:divBdr>
                          <w:divsChild>
                            <w:div w:id="1606814831">
                              <w:marLeft w:val="0"/>
                              <w:marRight w:val="0"/>
                              <w:marTop w:val="0"/>
                              <w:marBottom w:val="195"/>
                              <w:divBdr>
                                <w:top w:val="single" w:sz="2" w:space="5" w:color="B2B2B2"/>
                                <w:left w:val="single" w:sz="2" w:space="3" w:color="B2B2B2"/>
                                <w:bottom w:val="single" w:sz="2" w:space="5" w:color="B2B2B2"/>
                                <w:right w:val="single" w:sz="2" w:space="5" w:color="B2B2B2"/>
                              </w:divBdr>
                              <w:divsChild>
                                <w:div w:id="17089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919027">
              <w:marLeft w:val="0"/>
              <w:marRight w:val="0"/>
              <w:marTop w:val="0"/>
              <w:marBottom w:val="0"/>
              <w:divBdr>
                <w:top w:val="none" w:sz="0" w:space="0" w:color="auto"/>
                <w:left w:val="none" w:sz="0" w:space="0" w:color="auto"/>
                <w:bottom w:val="none" w:sz="0" w:space="0" w:color="auto"/>
                <w:right w:val="none" w:sz="0" w:space="0" w:color="auto"/>
              </w:divBdr>
              <w:divsChild>
                <w:div w:id="1098519814">
                  <w:marLeft w:val="0"/>
                  <w:marRight w:val="0"/>
                  <w:marTop w:val="0"/>
                  <w:marBottom w:val="0"/>
                  <w:divBdr>
                    <w:top w:val="none" w:sz="0" w:space="0" w:color="auto"/>
                    <w:left w:val="none" w:sz="0" w:space="0" w:color="auto"/>
                    <w:bottom w:val="none" w:sz="0" w:space="0" w:color="auto"/>
                    <w:right w:val="none" w:sz="0" w:space="0" w:color="auto"/>
                  </w:divBdr>
                  <w:divsChild>
                    <w:div w:id="1544294788">
                      <w:marLeft w:val="0"/>
                      <w:marRight w:val="0"/>
                      <w:marTop w:val="0"/>
                      <w:marBottom w:val="195"/>
                      <w:divBdr>
                        <w:top w:val="single" w:sz="2" w:space="5" w:color="B2B2B2"/>
                        <w:left w:val="single" w:sz="2" w:space="3" w:color="B2B2B2"/>
                        <w:bottom w:val="single" w:sz="2" w:space="5" w:color="B2B2B2"/>
                        <w:right w:val="single" w:sz="2" w:space="5" w:color="B2B2B2"/>
                      </w:divBdr>
                      <w:divsChild>
                        <w:div w:id="702637030">
                          <w:marLeft w:val="0"/>
                          <w:marRight w:val="0"/>
                          <w:marTop w:val="0"/>
                          <w:marBottom w:val="0"/>
                          <w:divBdr>
                            <w:top w:val="none" w:sz="0" w:space="0" w:color="auto"/>
                            <w:left w:val="none" w:sz="0" w:space="0" w:color="auto"/>
                            <w:bottom w:val="none" w:sz="0" w:space="0" w:color="auto"/>
                            <w:right w:val="none" w:sz="0" w:space="0" w:color="auto"/>
                          </w:divBdr>
                        </w:div>
                        <w:div w:id="223570639">
                          <w:marLeft w:val="0"/>
                          <w:marRight w:val="0"/>
                          <w:marTop w:val="0"/>
                          <w:marBottom w:val="0"/>
                          <w:divBdr>
                            <w:top w:val="none" w:sz="0" w:space="0" w:color="auto"/>
                            <w:left w:val="none" w:sz="0" w:space="0" w:color="auto"/>
                            <w:bottom w:val="none" w:sz="0" w:space="0" w:color="auto"/>
                            <w:right w:val="none" w:sz="0" w:space="0" w:color="auto"/>
                          </w:divBdr>
                        </w:div>
                        <w:div w:id="480275336">
                          <w:marLeft w:val="0"/>
                          <w:marRight w:val="0"/>
                          <w:marTop w:val="0"/>
                          <w:marBottom w:val="0"/>
                          <w:divBdr>
                            <w:top w:val="none" w:sz="0" w:space="0" w:color="auto"/>
                            <w:left w:val="none" w:sz="0" w:space="0" w:color="auto"/>
                            <w:bottom w:val="none" w:sz="0" w:space="0" w:color="auto"/>
                            <w:right w:val="none" w:sz="0" w:space="0" w:color="auto"/>
                          </w:divBdr>
                        </w:div>
                      </w:divsChild>
                    </w:div>
                    <w:div w:id="1519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095641"/>
    <w:rsid w:val="001138EA"/>
    <w:rsid w:val="00161B07"/>
    <w:rsid w:val="001B7818"/>
    <w:rsid w:val="002F4A22"/>
    <w:rsid w:val="003032A1"/>
    <w:rsid w:val="0034082E"/>
    <w:rsid w:val="003961D0"/>
    <w:rsid w:val="003D415B"/>
    <w:rsid w:val="00424473"/>
    <w:rsid w:val="00521F5C"/>
    <w:rsid w:val="005220B4"/>
    <w:rsid w:val="005765B3"/>
    <w:rsid w:val="005E244C"/>
    <w:rsid w:val="006357FB"/>
    <w:rsid w:val="00716439"/>
    <w:rsid w:val="00782B9F"/>
    <w:rsid w:val="0081429B"/>
    <w:rsid w:val="00814CB5"/>
    <w:rsid w:val="0088141A"/>
    <w:rsid w:val="0089444E"/>
    <w:rsid w:val="008C71F5"/>
    <w:rsid w:val="008E0B57"/>
    <w:rsid w:val="00943CE8"/>
    <w:rsid w:val="0095088E"/>
    <w:rsid w:val="00984FA9"/>
    <w:rsid w:val="00A117C4"/>
    <w:rsid w:val="00A54424"/>
    <w:rsid w:val="00A802D3"/>
    <w:rsid w:val="00AE2AA9"/>
    <w:rsid w:val="00B17A2B"/>
    <w:rsid w:val="00C1380E"/>
    <w:rsid w:val="00D16D2D"/>
    <w:rsid w:val="00D80557"/>
    <w:rsid w:val="00E070D4"/>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7DC426F-38E4-4346-82A9-E4D5EB9E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11</Pages>
  <Words>4164</Words>
  <Characters>22490</Characters>
  <Application>Microsoft Office Word</Application>
  <DocSecurity>0</DocSecurity>
  <Lines>187</Lines>
  <Paragraphs>53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2019-07-25T05:28:00Z</cp:lastPrinted>
  <dcterms:created xsi:type="dcterms:W3CDTF">2019-08-02T08:35:00Z</dcterms:created>
  <dcterms:modified xsi:type="dcterms:W3CDTF">2019-08-02T08:35:00Z</dcterms:modified>
  <cp:contentStatus/>
  <dc:language>Ελληνικά</dc:language>
  <cp:version>am-20180624</cp:version>
</cp:coreProperties>
</file>