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559E" w14:textId="1D040BC8" w:rsidR="009B3183" w:rsidRPr="00D673A1" w:rsidRDefault="00D529A0" w:rsidP="00C0166C">
      <w:pPr>
        <w:spacing w:before="240" w:after="0"/>
        <w:rPr>
          <w:rFonts w:asciiTheme="minorHAnsi" w:hAnsiTheme="minorHAnsi"/>
          <w:b/>
          <w:sz w:val="24"/>
          <w:szCs w:val="24"/>
        </w:rPr>
      </w:pPr>
      <w:r>
        <w:rPr>
          <w:rFonts w:asciiTheme="minorHAnsi" w:hAnsiTheme="minorHAnsi"/>
          <w:b/>
          <w:sz w:val="24"/>
          <w:szCs w:val="24"/>
        </w:rPr>
        <w:t xml:space="preserve"> </w:t>
      </w:r>
      <w:r w:rsidR="00A5663B" w:rsidRPr="00D673A1">
        <w:rPr>
          <w:rFonts w:asciiTheme="minorHAnsi" w:hAnsiTheme="minorHAnsi"/>
          <w:b/>
          <w:sz w:val="24"/>
          <w:szCs w:val="24"/>
        </w:rPr>
        <w:t>ΚΑΤΕΠΕΙΓΟΝ</w:t>
      </w:r>
    </w:p>
    <w:p w14:paraId="5FFB47DE" w14:textId="7EAA5099" w:rsidR="00A5663B" w:rsidRPr="00D673A1" w:rsidRDefault="00A5663B" w:rsidP="00C0166C">
      <w:pPr>
        <w:spacing w:after="0"/>
        <w:rPr>
          <w:rFonts w:asciiTheme="minorHAnsi" w:hAnsiTheme="minorHAnsi"/>
          <w:sz w:val="24"/>
          <w:szCs w:val="24"/>
        </w:rPr>
      </w:pPr>
      <w:r w:rsidRPr="00D673A1">
        <w:rPr>
          <w:rFonts w:asciiTheme="minorHAnsi" w:hAnsiTheme="minorHAnsi"/>
          <w:sz w:val="24"/>
          <w:szCs w:val="24"/>
        </w:rPr>
        <w:t xml:space="preserve">Πληροφορίες: </w:t>
      </w:r>
      <w:r w:rsidR="00D673A1">
        <w:rPr>
          <w:rFonts w:asciiTheme="minorHAnsi" w:hAnsiTheme="minorHAnsi"/>
          <w:sz w:val="24"/>
          <w:szCs w:val="24"/>
        </w:rPr>
        <w:t>Χρ</w:t>
      </w:r>
      <w:r w:rsidR="00134A47" w:rsidRPr="00D673A1">
        <w:rPr>
          <w:rFonts w:asciiTheme="minorHAnsi" w:hAnsiTheme="minorHAnsi"/>
          <w:sz w:val="24"/>
          <w:szCs w:val="24"/>
        </w:rPr>
        <w:t xml:space="preserve">. </w:t>
      </w:r>
      <w:r w:rsidR="00D673A1">
        <w:rPr>
          <w:rFonts w:asciiTheme="minorHAnsi" w:hAnsiTheme="minorHAnsi"/>
          <w:sz w:val="24"/>
          <w:szCs w:val="24"/>
        </w:rPr>
        <w:t xml:space="preserve">Σαμαρά </w:t>
      </w:r>
      <w:r w:rsidR="00134A47" w:rsidRPr="00D673A1">
        <w:rPr>
          <w:rFonts w:asciiTheme="minorHAnsi" w:hAnsiTheme="minorHAnsi"/>
          <w:sz w:val="24"/>
          <w:szCs w:val="24"/>
        </w:rPr>
        <w:t xml:space="preserve"> </w:t>
      </w:r>
    </w:p>
    <w:p w14:paraId="4600F5B3" w14:textId="1B21F58C" w:rsidR="00A5663B" w:rsidRPr="00D673A1" w:rsidRDefault="00A5663B" w:rsidP="00C0166C">
      <w:pPr>
        <w:tabs>
          <w:tab w:val="left" w:pos="2694"/>
        </w:tabs>
        <w:spacing w:before="480" w:after="0"/>
        <w:ind w:left="1418"/>
        <w:jc w:val="left"/>
        <w:rPr>
          <w:rFonts w:asciiTheme="minorHAnsi" w:hAnsiTheme="minorHAnsi"/>
          <w:b/>
          <w:color w:val="auto"/>
          <w:sz w:val="24"/>
          <w:szCs w:val="24"/>
        </w:rPr>
      </w:pPr>
      <w:r w:rsidRPr="00D673A1">
        <w:rPr>
          <w:rFonts w:asciiTheme="minorHAnsi" w:hAnsiTheme="minorHAnsi"/>
          <w:b/>
          <w:sz w:val="24"/>
          <w:szCs w:val="24"/>
        </w:rPr>
        <w:br w:type="column"/>
      </w:r>
      <w:r w:rsidRPr="00D673A1">
        <w:rPr>
          <w:rFonts w:asciiTheme="minorHAnsi" w:hAnsiTheme="minorHAnsi"/>
          <w:b/>
          <w:sz w:val="24"/>
          <w:szCs w:val="24"/>
        </w:rPr>
        <w:t xml:space="preserve">Αθήνα: </w:t>
      </w:r>
      <w:r w:rsidR="00C0166C" w:rsidRPr="00D673A1">
        <w:rPr>
          <w:rFonts w:asciiTheme="minorHAnsi" w:hAnsiTheme="minorHAnsi"/>
          <w:b/>
          <w:sz w:val="24"/>
          <w:szCs w:val="24"/>
        </w:rPr>
        <w:tab/>
      </w:r>
      <w:r w:rsidR="00564F03">
        <w:rPr>
          <w:rFonts w:asciiTheme="minorHAnsi" w:hAnsiTheme="minorHAnsi"/>
          <w:color w:val="auto"/>
          <w:sz w:val="24"/>
          <w:szCs w:val="24"/>
        </w:rPr>
        <w:t>13</w:t>
      </w:r>
      <w:r w:rsidR="00D673A1" w:rsidRPr="00D673A1">
        <w:rPr>
          <w:rFonts w:asciiTheme="minorHAnsi" w:hAnsiTheme="minorHAnsi"/>
          <w:color w:val="auto"/>
          <w:sz w:val="24"/>
          <w:szCs w:val="24"/>
        </w:rPr>
        <w:t>.11</w:t>
      </w:r>
      <w:r w:rsidR="009B63A8" w:rsidRPr="00D673A1">
        <w:rPr>
          <w:rFonts w:asciiTheme="minorHAnsi" w:hAnsiTheme="minorHAnsi"/>
          <w:color w:val="auto"/>
          <w:sz w:val="24"/>
          <w:szCs w:val="24"/>
        </w:rPr>
        <w:t xml:space="preserve">.2017 </w:t>
      </w:r>
    </w:p>
    <w:p w14:paraId="2DDEBD01" w14:textId="1D0ECDF1" w:rsidR="00A5663B" w:rsidRPr="00D673A1" w:rsidRDefault="00A5663B" w:rsidP="00134A47">
      <w:pPr>
        <w:tabs>
          <w:tab w:val="left" w:pos="2694"/>
        </w:tabs>
        <w:ind w:left="1418"/>
        <w:jc w:val="left"/>
        <w:rPr>
          <w:rFonts w:asciiTheme="minorHAnsi" w:hAnsiTheme="minorHAnsi"/>
          <w:b/>
          <w:sz w:val="24"/>
          <w:szCs w:val="24"/>
        </w:rPr>
        <w:sectPr w:rsidR="00A5663B" w:rsidRPr="00D673A1" w:rsidSect="00A5663B">
          <w:headerReference w:type="default" r:id="rId8"/>
          <w:footerReference w:type="default" r:id="rId9"/>
          <w:pgSz w:w="11906" w:h="16838"/>
          <w:pgMar w:top="1440" w:right="1800" w:bottom="1440" w:left="1800" w:header="709" w:footer="709" w:gutter="0"/>
          <w:cols w:num="2" w:space="708"/>
          <w:docGrid w:linePitch="360"/>
        </w:sectPr>
      </w:pPr>
      <w:r w:rsidRPr="00D673A1">
        <w:rPr>
          <w:rFonts w:asciiTheme="minorHAnsi" w:hAnsiTheme="minorHAnsi"/>
          <w:b/>
          <w:sz w:val="24"/>
          <w:szCs w:val="24"/>
        </w:rPr>
        <w:t xml:space="preserve">Αρ. Πρωτ.: </w:t>
      </w:r>
      <w:r w:rsidR="00C0166C" w:rsidRPr="00D673A1">
        <w:rPr>
          <w:rFonts w:asciiTheme="minorHAnsi" w:hAnsiTheme="minorHAnsi"/>
          <w:b/>
          <w:sz w:val="24"/>
          <w:szCs w:val="24"/>
        </w:rPr>
        <w:tab/>
      </w:r>
      <w:r w:rsidR="00DA1FBF">
        <w:rPr>
          <w:rFonts w:asciiTheme="minorHAnsi" w:hAnsiTheme="minorHAnsi"/>
          <w:b/>
          <w:sz w:val="24"/>
          <w:szCs w:val="24"/>
        </w:rPr>
        <w:t>1595</w:t>
      </w:r>
    </w:p>
    <w:p w14:paraId="4E441A1D" w14:textId="0BE035DE" w:rsidR="004074BE" w:rsidRPr="00D673A1" w:rsidRDefault="00C0166C" w:rsidP="004074BE">
      <w:pPr>
        <w:spacing w:before="360"/>
        <w:rPr>
          <w:rFonts w:asciiTheme="minorHAnsi" w:hAnsiTheme="minorHAnsi"/>
          <w:b/>
          <w:sz w:val="24"/>
          <w:szCs w:val="24"/>
        </w:rPr>
      </w:pPr>
      <w:r w:rsidRPr="00D673A1">
        <w:rPr>
          <w:rFonts w:asciiTheme="minorHAnsi" w:hAnsiTheme="minorHAnsi"/>
          <w:b/>
          <w:color w:val="auto"/>
          <w:sz w:val="24"/>
          <w:szCs w:val="24"/>
        </w:rPr>
        <w:t>ΠΡΟΣ</w:t>
      </w:r>
      <w:r w:rsidR="00A5663B" w:rsidRPr="00D673A1">
        <w:rPr>
          <w:rFonts w:asciiTheme="minorHAnsi" w:hAnsiTheme="minorHAnsi"/>
          <w:b/>
          <w:color w:val="auto"/>
          <w:sz w:val="24"/>
          <w:szCs w:val="24"/>
        </w:rPr>
        <w:t xml:space="preserve">: </w:t>
      </w:r>
      <w:r w:rsidR="004074BE" w:rsidRPr="00D673A1">
        <w:rPr>
          <w:rFonts w:asciiTheme="minorHAnsi" w:hAnsiTheme="minorHAnsi"/>
          <w:b/>
          <w:color w:val="auto"/>
          <w:sz w:val="24"/>
          <w:szCs w:val="24"/>
        </w:rPr>
        <w:t xml:space="preserve">κ. Αλ. </w:t>
      </w:r>
      <w:proofErr w:type="spellStart"/>
      <w:r w:rsidR="004074BE" w:rsidRPr="00D673A1">
        <w:rPr>
          <w:rFonts w:asciiTheme="minorHAnsi" w:hAnsiTheme="minorHAnsi"/>
          <w:b/>
          <w:color w:val="auto"/>
          <w:sz w:val="24"/>
          <w:szCs w:val="24"/>
        </w:rPr>
        <w:t>Χαρίτση</w:t>
      </w:r>
      <w:proofErr w:type="spellEnd"/>
      <w:r w:rsidR="004074BE" w:rsidRPr="00D673A1">
        <w:rPr>
          <w:rFonts w:asciiTheme="minorHAnsi" w:hAnsiTheme="minorHAnsi"/>
          <w:b/>
          <w:color w:val="auto"/>
          <w:sz w:val="24"/>
          <w:szCs w:val="24"/>
        </w:rPr>
        <w:t xml:space="preserve">, </w:t>
      </w:r>
      <w:r w:rsidR="004074BE" w:rsidRPr="00D673A1">
        <w:rPr>
          <w:rFonts w:asciiTheme="minorHAnsi" w:hAnsiTheme="minorHAnsi"/>
          <w:b/>
          <w:sz w:val="24"/>
          <w:szCs w:val="24"/>
        </w:rPr>
        <w:t xml:space="preserve"> Αναπληρωτή Υπουργό Οικονομίας και Ανάπτυξης</w:t>
      </w:r>
    </w:p>
    <w:p w14:paraId="52398417" w14:textId="724C70B8" w:rsidR="00041D12" w:rsidRPr="000C10B4" w:rsidRDefault="00C0166C" w:rsidP="000C10B4">
      <w:pPr>
        <w:pStyle w:val="6"/>
        <w:numPr>
          <w:ilvl w:val="0"/>
          <w:numId w:val="0"/>
        </w:numPr>
        <w:ind w:left="1152" w:hanging="1152"/>
        <w:rPr>
          <w:sz w:val="28"/>
        </w:rPr>
      </w:pPr>
      <w:r w:rsidRPr="000C10B4">
        <w:rPr>
          <w:sz w:val="28"/>
        </w:rPr>
        <w:t>ΘΕΜΑ</w:t>
      </w:r>
      <w:r w:rsidR="00D673A1" w:rsidRPr="000C10B4">
        <w:rPr>
          <w:sz w:val="28"/>
        </w:rPr>
        <w:t xml:space="preserve">: </w:t>
      </w:r>
      <w:r w:rsidR="009C639C" w:rsidRPr="000C10B4">
        <w:rPr>
          <w:sz w:val="28"/>
        </w:rPr>
        <w:t>«Κατάθεση αιτημάτων και προτάσεων της ΕΣΑμεΑ επί του σ/ν</w:t>
      </w:r>
      <w:r w:rsidR="00D673A1" w:rsidRPr="000C10B4">
        <w:rPr>
          <w:sz w:val="28"/>
        </w:rPr>
        <w:t>: «Νόμος Πλαίσιο για την Εποπτεία των Οικονομικών Δραστηριοτήτων και την Εποπτεία αγοράς προϊόντων»</w:t>
      </w:r>
      <w:bookmarkStart w:id="0" w:name="_GoBack"/>
      <w:bookmarkEnd w:id="0"/>
    </w:p>
    <w:p w14:paraId="038D59E6" w14:textId="77777777" w:rsidR="00C0166C" w:rsidRPr="000C10B4" w:rsidRDefault="00C0166C" w:rsidP="0095656A">
      <w:pPr>
        <w:pBdr>
          <w:bottom w:val="single" w:sz="4" w:space="1" w:color="808080" w:themeColor="background1" w:themeShade="80"/>
        </w:pBdr>
        <w:spacing w:after="480"/>
        <w:rPr>
          <w:rFonts w:asciiTheme="minorHAnsi" w:hAnsiTheme="minorHAnsi"/>
          <w:sz w:val="32"/>
          <w:szCs w:val="24"/>
        </w:rPr>
      </w:pPr>
    </w:p>
    <w:p w14:paraId="54F1E9FB" w14:textId="7A1B40CA" w:rsidR="00C34789" w:rsidRPr="003233E0" w:rsidRDefault="009B63A8" w:rsidP="0095656A">
      <w:pPr>
        <w:spacing w:after="0"/>
        <w:rPr>
          <w:rFonts w:asciiTheme="minorHAnsi" w:hAnsiTheme="minorHAnsi"/>
          <w:color w:val="auto"/>
          <w:sz w:val="24"/>
          <w:szCs w:val="24"/>
        </w:rPr>
      </w:pPr>
      <w:r w:rsidRPr="003233E0">
        <w:rPr>
          <w:rFonts w:asciiTheme="minorHAnsi" w:hAnsiTheme="minorHAnsi"/>
          <w:b/>
          <w:color w:val="auto"/>
          <w:sz w:val="24"/>
          <w:szCs w:val="24"/>
        </w:rPr>
        <w:t>ΚΟΙΝ</w:t>
      </w:r>
      <w:r w:rsidRPr="003233E0">
        <w:rPr>
          <w:rFonts w:asciiTheme="minorHAnsi" w:hAnsiTheme="minorHAnsi"/>
          <w:color w:val="auto"/>
          <w:sz w:val="24"/>
          <w:szCs w:val="24"/>
        </w:rPr>
        <w:t>:</w:t>
      </w:r>
      <w:r w:rsidR="00DE01AF" w:rsidRPr="003233E0">
        <w:rPr>
          <w:rFonts w:asciiTheme="minorHAnsi" w:hAnsiTheme="minorHAnsi"/>
          <w:color w:val="auto"/>
          <w:sz w:val="24"/>
          <w:szCs w:val="24"/>
        </w:rPr>
        <w:t xml:space="preserve"> </w:t>
      </w:r>
      <w:r w:rsidR="00A43C9D" w:rsidRPr="003233E0">
        <w:rPr>
          <w:rFonts w:asciiTheme="minorHAnsi" w:hAnsiTheme="minorHAnsi"/>
          <w:color w:val="auto"/>
          <w:sz w:val="24"/>
          <w:szCs w:val="24"/>
        </w:rPr>
        <w:t>«Πίνακας Αποδεκτών»</w:t>
      </w:r>
    </w:p>
    <w:p w14:paraId="0C3A6516" w14:textId="13F54F5C" w:rsidR="009C639C" w:rsidRPr="003233E0" w:rsidRDefault="00C34789" w:rsidP="0095656A">
      <w:pPr>
        <w:spacing w:after="0"/>
        <w:rPr>
          <w:rFonts w:asciiTheme="minorHAnsi" w:eastAsia="Cambria" w:hAnsiTheme="minorHAnsi" w:cs="Cambria"/>
          <w:b/>
          <w:color w:val="FF0000"/>
          <w:sz w:val="24"/>
          <w:szCs w:val="24"/>
          <w:shd w:val="clear" w:color="auto" w:fill="00FF00"/>
          <w:lang w:eastAsia="el-GR"/>
        </w:rPr>
      </w:pPr>
      <w:r w:rsidRPr="003233E0">
        <w:rPr>
          <w:rFonts w:asciiTheme="minorHAnsi" w:hAnsiTheme="minorHAnsi"/>
          <w:color w:val="auto"/>
          <w:sz w:val="24"/>
          <w:szCs w:val="24"/>
        </w:rPr>
        <w:t xml:space="preserve"> </w:t>
      </w:r>
    </w:p>
    <w:p w14:paraId="639421D9" w14:textId="12964DB3" w:rsidR="009C639C" w:rsidRPr="003233E0" w:rsidRDefault="00D673A1" w:rsidP="0095656A">
      <w:pPr>
        <w:rPr>
          <w:rFonts w:asciiTheme="minorHAnsi" w:eastAsia="Cambria" w:hAnsiTheme="minorHAnsi" w:cs="Cambria"/>
          <w:color w:val="auto"/>
          <w:sz w:val="24"/>
          <w:szCs w:val="24"/>
          <w:lang w:eastAsia="el-GR"/>
        </w:rPr>
      </w:pPr>
      <w:r w:rsidRPr="003233E0">
        <w:rPr>
          <w:rFonts w:asciiTheme="minorHAnsi" w:eastAsia="Cambria" w:hAnsiTheme="minorHAnsi" w:cs="Cambria"/>
          <w:b/>
          <w:color w:val="auto"/>
          <w:sz w:val="24"/>
          <w:szCs w:val="24"/>
          <w:lang w:eastAsia="el-GR"/>
        </w:rPr>
        <w:t xml:space="preserve">Κύριε Υπουργέ, </w:t>
      </w:r>
    </w:p>
    <w:p w14:paraId="2EB68C15" w14:textId="30496CD0" w:rsidR="00D673A1" w:rsidRPr="003233E0" w:rsidRDefault="00D673A1" w:rsidP="000C10B4">
      <w:pPr>
        <w:rPr>
          <w:rFonts w:asciiTheme="minorHAnsi" w:hAnsiTheme="minorHAnsi"/>
          <w:sz w:val="24"/>
          <w:szCs w:val="24"/>
        </w:rPr>
      </w:pPr>
      <w:r w:rsidRPr="003233E0">
        <w:rPr>
          <w:rFonts w:asciiTheme="minorHAnsi" w:hAnsiTheme="minorHAnsi"/>
          <w:b/>
          <w:sz w:val="24"/>
          <w:szCs w:val="24"/>
        </w:rPr>
        <w:t>Η Εθνική Συνομοσπονδία Ατόμων με Αναπηρία (Ε.Σ.Α.μεΑ.),</w:t>
      </w:r>
      <w:r w:rsidRPr="003233E0">
        <w:rPr>
          <w:rFonts w:asciiTheme="minorHAnsi" w:hAnsiTheme="minorHAnsi"/>
          <w:sz w:val="24"/>
          <w:szCs w:val="24"/>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 με το παρόν σας υποβάλλει τις προτάσεις της στο πλαίσιο της δημόσιας ηλεκτρονικής διαβούλευσης επί του σχεδίου νόμου Πλαίσιο για την Εποπτεία των Οικονομικών Δραστηριοτήτων και την Εποπτεία αγοράς προϊόντων</w:t>
      </w:r>
      <w:r w:rsidRPr="003233E0">
        <w:rPr>
          <w:rFonts w:asciiTheme="minorHAnsi" w:hAnsiTheme="minorHAnsi"/>
          <w:b/>
          <w:sz w:val="24"/>
          <w:szCs w:val="24"/>
        </w:rPr>
        <w:t xml:space="preserve">. </w:t>
      </w:r>
    </w:p>
    <w:p w14:paraId="35269355" w14:textId="2FB62067" w:rsidR="00D673A1" w:rsidRPr="003233E0" w:rsidRDefault="00D673A1" w:rsidP="000C10B4">
      <w:pPr>
        <w:rPr>
          <w:rFonts w:asciiTheme="minorHAnsi" w:hAnsiTheme="minorHAnsi"/>
          <w:sz w:val="24"/>
          <w:szCs w:val="24"/>
        </w:rPr>
      </w:pPr>
      <w:r w:rsidRPr="003233E0">
        <w:rPr>
          <w:rFonts w:asciiTheme="minorHAnsi" w:hAnsiTheme="minorHAnsi"/>
          <w:sz w:val="24"/>
          <w:szCs w:val="24"/>
        </w:rPr>
        <w:t xml:space="preserve">Αξίζει να αναφερθεί ότι τα σχόλια που περιλαμβάνονται στο παρόν έγγραφό μας υποβλήθηκαν και ηλεκτρονικά στις 10.11.2017, στον διαδικτυακό τόπο </w:t>
      </w:r>
      <w:hyperlink r:id="rId10" w:history="1">
        <w:r w:rsidRPr="003233E0">
          <w:rPr>
            <w:rStyle w:val="-"/>
            <w:rFonts w:asciiTheme="minorHAnsi" w:hAnsiTheme="minorHAnsi"/>
            <w:sz w:val="24"/>
            <w:szCs w:val="24"/>
          </w:rPr>
          <w:t>www.opengov.gr</w:t>
        </w:r>
      </w:hyperlink>
      <w:r w:rsidRPr="003233E0">
        <w:rPr>
          <w:rFonts w:asciiTheme="minorHAnsi" w:hAnsiTheme="minorHAnsi"/>
          <w:sz w:val="24"/>
          <w:szCs w:val="24"/>
        </w:rPr>
        <w:t>.</w:t>
      </w:r>
    </w:p>
    <w:p w14:paraId="627CD8EE" w14:textId="4D997335" w:rsidR="009C639C" w:rsidRPr="003233E0" w:rsidRDefault="009C639C" w:rsidP="000C10B4">
      <w:pPr>
        <w:rPr>
          <w:rFonts w:asciiTheme="minorHAnsi" w:eastAsia="Cambria" w:hAnsiTheme="minorHAnsi" w:cs="Cambria"/>
          <w:color w:val="auto"/>
          <w:sz w:val="24"/>
          <w:szCs w:val="24"/>
          <w:lang w:eastAsia="el-GR"/>
        </w:rPr>
      </w:pPr>
      <w:r w:rsidRPr="003233E0">
        <w:rPr>
          <w:rFonts w:asciiTheme="minorHAnsi" w:eastAsia="Cambria" w:hAnsiTheme="minorHAnsi" w:cs="Cambria"/>
          <w:b/>
          <w:color w:val="auto"/>
          <w:sz w:val="24"/>
          <w:szCs w:val="24"/>
          <w:u w:val="single"/>
          <w:lang w:eastAsia="el-GR"/>
        </w:rPr>
        <w:t xml:space="preserve">Λαμβάνοντας υπόψη: </w:t>
      </w:r>
    </w:p>
    <w:p w14:paraId="7AB8E89F" w14:textId="0A97387B" w:rsidR="00DD36B3" w:rsidRPr="003233E0" w:rsidRDefault="005933BE" w:rsidP="000C10B4">
      <w:pPr>
        <w:rPr>
          <w:rFonts w:asciiTheme="minorHAnsi" w:eastAsia="Cambria" w:hAnsiTheme="minorHAnsi" w:cs="Cambria"/>
          <w:color w:val="auto"/>
          <w:sz w:val="24"/>
          <w:szCs w:val="24"/>
          <w:lang w:eastAsia="el-GR"/>
        </w:rPr>
      </w:pPr>
      <w:r w:rsidRPr="003233E0">
        <w:rPr>
          <w:rFonts w:asciiTheme="minorHAnsi" w:eastAsia="Cambria" w:hAnsiTheme="minorHAnsi" w:cs="Cambria"/>
          <w:b/>
          <w:color w:val="auto"/>
          <w:sz w:val="24"/>
          <w:szCs w:val="24"/>
          <w:lang w:eastAsia="el-GR"/>
        </w:rPr>
        <w:t xml:space="preserve"> </w:t>
      </w:r>
      <w:r w:rsidR="009C639C" w:rsidRPr="003233E0">
        <w:rPr>
          <w:rFonts w:asciiTheme="minorHAnsi" w:eastAsia="Cambria" w:hAnsiTheme="minorHAnsi" w:cs="Cambria"/>
          <w:b/>
          <w:color w:val="auto"/>
          <w:sz w:val="24"/>
          <w:szCs w:val="24"/>
          <w:lang w:eastAsia="el-GR"/>
        </w:rPr>
        <w:t xml:space="preserve">την παρ. 2 του άρθρου 4 του Συντάγματος </w:t>
      </w:r>
      <w:r w:rsidR="009C639C" w:rsidRPr="003233E0">
        <w:rPr>
          <w:rFonts w:asciiTheme="minorHAnsi" w:eastAsia="Cambria" w:hAnsiTheme="minorHAnsi" w:cs="Cambria"/>
          <w:color w:val="auto"/>
          <w:sz w:val="24"/>
          <w:szCs w:val="24"/>
          <w:lang w:eastAsia="el-GR"/>
        </w:rPr>
        <w:t>σύμφωνα με το οποίο «</w:t>
      </w:r>
      <w:r w:rsidR="009C639C" w:rsidRPr="003233E0">
        <w:rPr>
          <w:rFonts w:asciiTheme="minorHAnsi" w:eastAsia="Cambria" w:hAnsiTheme="minorHAnsi" w:cs="Cambria"/>
          <w:i/>
          <w:color w:val="auto"/>
          <w:sz w:val="24"/>
          <w:szCs w:val="24"/>
          <w:lang w:eastAsia="el-GR"/>
        </w:rPr>
        <w:t>Οι Έλληνες και οι Ελληνίδες έχουν ίσα δικαιώματα και υποχρεώσεις</w:t>
      </w:r>
      <w:r w:rsidR="00DD36B3" w:rsidRPr="003233E0">
        <w:rPr>
          <w:rFonts w:asciiTheme="minorHAnsi" w:eastAsia="Cambria" w:hAnsiTheme="minorHAnsi" w:cs="Cambria"/>
          <w:color w:val="auto"/>
          <w:sz w:val="24"/>
          <w:szCs w:val="24"/>
          <w:lang w:eastAsia="el-GR"/>
        </w:rPr>
        <w:t>»,</w:t>
      </w:r>
    </w:p>
    <w:p w14:paraId="4BF102BA" w14:textId="62EDC069" w:rsidR="00DD36B3" w:rsidRPr="003233E0" w:rsidRDefault="00DD36B3" w:rsidP="000C10B4">
      <w:pPr>
        <w:rPr>
          <w:rFonts w:asciiTheme="minorHAnsi" w:eastAsia="Cambria" w:hAnsiTheme="minorHAnsi" w:cs="Cambria"/>
          <w:b/>
          <w:color w:val="auto"/>
          <w:sz w:val="24"/>
          <w:szCs w:val="24"/>
          <w:lang w:eastAsia="el-GR"/>
        </w:rPr>
      </w:pPr>
      <w:r w:rsidRPr="003233E0">
        <w:rPr>
          <w:rFonts w:asciiTheme="minorHAnsi" w:eastAsia="Cambria" w:hAnsiTheme="minorHAnsi" w:cs="Cambria"/>
          <w:b/>
          <w:color w:val="auto"/>
          <w:sz w:val="24"/>
          <w:szCs w:val="24"/>
          <w:lang w:eastAsia="el-GR"/>
        </w:rPr>
        <w:t xml:space="preserve"> Το άρθρο 61 του ν.4488/2017, το οποίο αναφέρει:</w:t>
      </w:r>
    </w:p>
    <w:p w14:paraId="3B40A8C4" w14:textId="40F54A9D" w:rsidR="00DD36B3" w:rsidRPr="003233E0" w:rsidRDefault="00DD36B3"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p>
    <w:p w14:paraId="552C096D" w14:textId="665E7776" w:rsidR="00B73047" w:rsidRPr="003233E0" w:rsidRDefault="00AA527F" w:rsidP="000C10B4">
      <w:pPr>
        <w:rPr>
          <w:rFonts w:asciiTheme="minorHAnsi" w:eastAsia="Cambria" w:hAnsiTheme="minorHAnsi" w:cs="Cambria"/>
          <w:b/>
          <w:color w:val="auto"/>
          <w:sz w:val="24"/>
          <w:szCs w:val="24"/>
          <w:lang w:eastAsia="el-GR"/>
        </w:rPr>
      </w:pPr>
      <w:r w:rsidRPr="003233E0">
        <w:rPr>
          <w:rFonts w:asciiTheme="minorHAnsi" w:eastAsia="Cambria" w:hAnsiTheme="minorHAnsi" w:cs="Cambria"/>
          <w:b/>
          <w:color w:val="auto"/>
          <w:sz w:val="24"/>
          <w:szCs w:val="24"/>
          <w:lang w:eastAsia="el-GR"/>
        </w:rPr>
        <w:lastRenderedPageBreak/>
        <w:sym w:font="Wingdings" w:char="F09F"/>
      </w:r>
      <w:r w:rsidRPr="003233E0">
        <w:rPr>
          <w:rFonts w:asciiTheme="minorHAnsi" w:eastAsia="Cambria" w:hAnsiTheme="minorHAnsi" w:cs="Cambria"/>
          <w:b/>
          <w:color w:val="auto"/>
          <w:sz w:val="24"/>
          <w:szCs w:val="24"/>
          <w:lang w:eastAsia="el-GR"/>
        </w:rPr>
        <w:t xml:space="preserve"> </w:t>
      </w:r>
      <w:r w:rsidR="005933BE" w:rsidRPr="003233E0">
        <w:rPr>
          <w:rFonts w:asciiTheme="minorHAnsi" w:eastAsia="Cambria" w:hAnsiTheme="minorHAnsi" w:cs="Cambria"/>
          <w:b/>
          <w:color w:val="auto"/>
          <w:sz w:val="24"/>
          <w:szCs w:val="24"/>
          <w:lang w:eastAsia="el-GR"/>
        </w:rPr>
        <w:t xml:space="preserve"> </w:t>
      </w:r>
      <w:r w:rsidR="00B73047" w:rsidRPr="003233E0">
        <w:rPr>
          <w:rFonts w:asciiTheme="minorHAnsi" w:eastAsia="Cambria" w:hAnsiTheme="minorHAnsi" w:cs="Cambria"/>
          <w:b/>
          <w:color w:val="auto"/>
          <w:sz w:val="24"/>
          <w:szCs w:val="24"/>
          <w:lang w:eastAsia="el-GR"/>
        </w:rPr>
        <w:t>Το Προεδρικό Διάταγμα 10/2017 Κώδικας Καταναλωτικής Δεοντολογίας, στο οποίο</w:t>
      </w:r>
      <w:r w:rsidR="00564F03" w:rsidRPr="003233E0">
        <w:rPr>
          <w:rFonts w:asciiTheme="minorHAnsi" w:eastAsia="Cambria" w:hAnsiTheme="minorHAnsi" w:cs="Cambria"/>
          <w:b/>
          <w:color w:val="auto"/>
          <w:sz w:val="24"/>
          <w:szCs w:val="24"/>
          <w:lang w:eastAsia="el-GR"/>
        </w:rPr>
        <w:t>,</w:t>
      </w:r>
    </w:p>
    <w:p w14:paraId="4E1582D9" w14:textId="0327EE15" w:rsidR="00B73047" w:rsidRPr="003233E0" w:rsidRDefault="005933BE" w:rsidP="000C10B4">
      <w:pPr>
        <w:rPr>
          <w:rFonts w:asciiTheme="minorHAnsi" w:eastAsia="Cambria" w:hAnsiTheme="minorHAnsi" w:cs="Cambria"/>
          <w:color w:val="auto"/>
          <w:sz w:val="24"/>
          <w:szCs w:val="24"/>
          <w:lang w:eastAsia="el-GR"/>
        </w:rPr>
      </w:pPr>
      <w:r w:rsidRPr="003233E0">
        <w:rPr>
          <w:rFonts w:asciiTheme="minorHAnsi" w:eastAsia="Cambria" w:hAnsiTheme="minorHAnsi" w:cs="Cambria"/>
          <w:b/>
          <w:color w:val="auto"/>
          <w:sz w:val="24"/>
          <w:szCs w:val="24"/>
          <w:lang w:eastAsia="el-GR"/>
        </w:rPr>
        <w:t>σ</w:t>
      </w:r>
      <w:r w:rsidR="00B73047" w:rsidRPr="003233E0">
        <w:rPr>
          <w:rFonts w:asciiTheme="minorHAnsi" w:eastAsia="Cambria" w:hAnsiTheme="minorHAnsi" w:cs="Cambria"/>
          <w:b/>
          <w:color w:val="auto"/>
          <w:sz w:val="24"/>
          <w:szCs w:val="24"/>
          <w:lang w:eastAsia="el-GR"/>
        </w:rPr>
        <w:t>την παρ. 2 του άρθρου 2 Γενικές αρχές επιχειρηματικής συμπεριφοράς των προμηθευτών</w:t>
      </w:r>
      <w:r w:rsidR="00B73047" w:rsidRPr="003233E0">
        <w:rPr>
          <w:rFonts w:asciiTheme="minorHAnsi" w:eastAsia="Cambria" w:hAnsiTheme="minorHAnsi" w:cs="Cambria"/>
          <w:color w:val="auto"/>
          <w:sz w:val="24"/>
          <w:szCs w:val="24"/>
          <w:lang w:eastAsia="el-GR"/>
        </w:rPr>
        <w:t xml:space="preserve"> αναφέρει:</w:t>
      </w:r>
    </w:p>
    <w:p w14:paraId="5F10437E" w14:textId="37E31004"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«2. Η επιχειρηματική συμπεριφορά των προμηθευτών εξασφαλίζει την ίση μεταχείριση ανδρών και γυναικών και λαμβάνει μέριμνα για την εξάλειψη κάθε διάκρισης και εμποδίου σε βάρος των ατόμων με αναπηρία στην πρόσβαση σε προϊόντα και υπηρεσίες. Οι προμηθευτές επιδεικνύουν ευπρέπεια, εντιμότητα, επαγγελματική ευσυνειδησία, ενδιαφέρον για τα έννομα αγαθά του καταναλωτή, που επηρεάζονται ή ενδέχεται να επηρεαστούν από τη συναλλακτική σχέση, και συνεργάζονται πρόθυμα για την επίτευξη του σκοπού της σύμβασης»</w:t>
      </w:r>
    </w:p>
    <w:p w14:paraId="528E2A52" w14:textId="4F4F850C" w:rsidR="00B73047" w:rsidRPr="003233E0" w:rsidRDefault="005933BE" w:rsidP="000C10B4">
      <w:pPr>
        <w:rPr>
          <w:rFonts w:asciiTheme="minorHAnsi" w:eastAsia="Cambria" w:hAnsiTheme="minorHAnsi" w:cs="Cambria"/>
          <w:color w:val="auto"/>
          <w:sz w:val="24"/>
          <w:szCs w:val="24"/>
          <w:lang w:eastAsia="el-GR"/>
        </w:rPr>
      </w:pPr>
      <w:r w:rsidRPr="003233E0">
        <w:rPr>
          <w:rFonts w:asciiTheme="minorHAnsi" w:eastAsia="Cambria" w:hAnsiTheme="minorHAnsi" w:cs="Cambria"/>
          <w:color w:val="auto"/>
          <w:sz w:val="24"/>
          <w:szCs w:val="24"/>
          <w:lang w:eastAsia="el-GR"/>
        </w:rPr>
        <w:t>κ</w:t>
      </w:r>
      <w:r w:rsidR="00AA527F" w:rsidRPr="003233E0">
        <w:rPr>
          <w:rFonts w:asciiTheme="minorHAnsi" w:eastAsia="Cambria" w:hAnsiTheme="minorHAnsi" w:cs="Cambria"/>
          <w:color w:val="auto"/>
          <w:sz w:val="24"/>
          <w:szCs w:val="24"/>
          <w:lang w:eastAsia="el-GR"/>
        </w:rPr>
        <w:t xml:space="preserve">αι </w:t>
      </w:r>
      <w:r w:rsidR="00AA527F" w:rsidRPr="003233E0">
        <w:rPr>
          <w:rFonts w:asciiTheme="minorHAnsi" w:eastAsia="Cambria" w:hAnsiTheme="minorHAnsi" w:cs="Cambria"/>
          <w:b/>
          <w:color w:val="auto"/>
          <w:sz w:val="24"/>
          <w:szCs w:val="24"/>
          <w:lang w:eastAsia="el-GR"/>
        </w:rPr>
        <w:t>σ</w:t>
      </w:r>
      <w:r w:rsidR="00B73047" w:rsidRPr="003233E0">
        <w:rPr>
          <w:rFonts w:asciiTheme="minorHAnsi" w:eastAsia="Cambria" w:hAnsiTheme="minorHAnsi" w:cs="Cambria"/>
          <w:b/>
          <w:color w:val="auto"/>
          <w:sz w:val="24"/>
          <w:szCs w:val="24"/>
          <w:lang w:eastAsia="el-GR"/>
        </w:rPr>
        <w:t>την παρ. 1 του άρθρου 10 Προστασία ανηλίκων και άλλων ευάλωτων ομάδων του πληθυσμού</w:t>
      </w:r>
      <w:r w:rsidR="00AA527F" w:rsidRPr="003233E0">
        <w:rPr>
          <w:rFonts w:asciiTheme="minorHAnsi" w:eastAsia="Cambria" w:hAnsiTheme="minorHAnsi" w:cs="Cambria"/>
          <w:color w:val="auto"/>
          <w:sz w:val="24"/>
          <w:szCs w:val="24"/>
          <w:lang w:eastAsia="el-GR"/>
        </w:rPr>
        <w:t>, αναφέρει:</w:t>
      </w:r>
    </w:p>
    <w:p w14:paraId="32FA6B79" w14:textId="05C25BC3"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«1. Κατά την άσκηση της επιχειρηματικής τους δραστηριότητας και την προώθηση των προϊόντων και των υπηρεσιών τους στην αγορά, οι προμηθευτές δρουν με γνώμονα την προστασία και τις κατά περίπτωση ιδιαίτερες ανάγκες επικοινωνίας, ενημέρωσης και εξυπηρέτησης των ανηλίκων, των ηλικιωμένων, των ατόμων με αναπηρία και των υπόλοιπων ευάλωτων ομάδων του πληθυσμού.[...]»</w:t>
      </w:r>
    </w:p>
    <w:p w14:paraId="0AF6B975" w14:textId="77777777" w:rsidR="00AA527F" w:rsidRPr="003233E0" w:rsidRDefault="00B73047" w:rsidP="000C10B4">
      <w:pPr>
        <w:rPr>
          <w:rFonts w:asciiTheme="minorHAnsi" w:eastAsia="Cambria" w:hAnsiTheme="minorHAnsi" w:cs="Cambria"/>
          <w:color w:val="auto"/>
          <w:sz w:val="24"/>
          <w:szCs w:val="24"/>
          <w:lang w:eastAsia="el-GR"/>
        </w:rPr>
      </w:pPr>
      <w:r w:rsidRPr="003233E0">
        <w:rPr>
          <w:rFonts w:asciiTheme="minorHAnsi" w:eastAsia="Cambria" w:hAnsiTheme="minorHAnsi" w:cs="Cambria"/>
          <w:b/>
          <w:color w:val="auto"/>
          <w:sz w:val="24"/>
          <w:szCs w:val="24"/>
          <w:lang w:eastAsia="el-GR"/>
        </w:rPr>
        <w:t>Την υπ’ αριθ. 31619 απόφαση του Υπ. Οικονομίας και Ανάπτυξης (ΦΕΚ 969 Β’/2017) για τον Κώδικα Καταναλωτικής Δεοντολογίας για το Ηλεκτρονικό Εμπόριο,</w:t>
      </w:r>
      <w:r w:rsidRPr="003233E0">
        <w:rPr>
          <w:rFonts w:asciiTheme="minorHAnsi" w:eastAsia="Cambria" w:hAnsiTheme="minorHAnsi" w:cs="Cambria"/>
          <w:color w:val="auto"/>
          <w:sz w:val="24"/>
          <w:szCs w:val="24"/>
          <w:lang w:eastAsia="el-GR"/>
        </w:rPr>
        <w:t xml:space="preserve"> </w:t>
      </w:r>
      <w:r w:rsidR="00AA527F" w:rsidRPr="003233E0">
        <w:rPr>
          <w:rFonts w:asciiTheme="minorHAnsi" w:eastAsia="Cambria" w:hAnsiTheme="minorHAnsi" w:cs="Cambria"/>
          <w:color w:val="auto"/>
          <w:sz w:val="24"/>
          <w:szCs w:val="24"/>
          <w:lang w:eastAsia="el-GR"/>
        </w:rPr>
        <w:t>όπου στα</w:t>
      </w:r>
      <w:r w:rsidRPr="003233E0">
        <w:rPr>
          <w:rFonts w:asciiTheme="minorHAnsi" w:eastAsia="Cambria" w:hAnsiTheme="minorHAnsi" w:cs="Cambria"/>
          <w:color w:val="auto"/>
          <w:sz w:val="24"/>
          <w:szCs w:val="24"/>
          <w:lang w:eastAsia="el-GR"/>
        </w:rPr>
        <w:t xml:space="preserve"> </w:t>
      </w:r>
      <w:r w:rsidR="00AA527F" w:rsidRPr="003233E0">
        <w:rPr>
          <w:rFonts w:asciiTheme="minorHAnsi" w:eastAsia="Cambria" w:hAnsiTheme="minorHAnsi" w:cs="Cambria"/>
          <w:color w:val="auto"/>
          <w:sz w:val="24"/>
          <w:szCs w:val="24"/>
          <w:lang w:eastAsia="el-GR"/>
        </w:rPr>
        <w:t>άρθρα</w:t>
      </w:r>
      <w:r w:rsidRPr="003233E0">
        <w:rPr>
          <w:rFonts w:asciiTheme="minorHAnsi" w:eastAsia="Cambria" w:hAnsiTheme="minorHAnsi" w:cs="Cambria"/>
          <w:color w:val="auto"/>
          <w:sz w:val="24"/>
          <w:szCs w:val="24"/>
          <w:lang w:eastAsia="el-GR"/>
        </w:rPr>
        <w:t xml:space="preserve"> 3 </w:t>
      </w:r>
      <w:r w:rsidR="00AA527F" w:rsidRPr="003233E0">
        <w:rPr>
          <w:rFonts w:asciiTheme="minorHAnsi" w:eastAsia="Cambria" w:hAnsiTheme="minorHAnsi" w:cs="Cambria"/>
          <w:color w:val="auto"/>
          <w:sz w:val="24"/>
          <w:szCs w:val="24"/>
          <w:lang w:eastAsia="el-GR"/>
        </w:rPr>
        <w:t xml:space="preserve">και 4 αναφέρει: </w:t>
      </w:r>
    </w:p>
    <w:p w14:paraId="18BF3042" w14:textId="2E02C36B" w:rsidR="00B73047" w:rsidRPr="003233E0" w:rsidRDefault="00AA527F" w:rsidP="000C10B4">
      <w:pPr>
        <w:rPr>
          <w:rFonts w:asciiTheme="minorHAnsi" w:eastAsia="Cambria" w:hAnsiTheme="minorHAnsi" w:cs="Cambria"/>
          <w:b/>
          <w:i/>
          <w:color w:val="auto"/>
          <w:sz w:val="24"/>
          <w:szCs w:val="24"/>
          <w:lang w:eastAsia="el-GR"/>
        </w:rPr>
      </w:pPr>
      <w:r w:rsidRPr="003233E0">
        <w:rPr>
          <w:rFonts w:asciiTheme="minorHAnsi" w:eastAsia="Cambria" w:hAnsiTheme="minorHAnsi" w:cs="Cambria"/>
          <w:b/>
          <w:i/>
          <w:color w:val="auto"/>
          <w:sz w:val="24"/>
          <w:szCs w:val="24"/>
          <w:lang w:eastAsia="el-GR"/>
        </w:rPr>
        <w:t xml:space="preserve">«Άρθρο 3 </w:t>
      </w:r>
      <w:r w:rsidR="00B73047" w:rsidRPr="003233E0">
        <w:rPr>
          <w:rFonts w:asciiTheme="minorHAnsi" w:eastAsia="Cambria" w:hAnsiTheme="minorHAnsi" w:cs="Cambria"/>
          <w:b/>
          <w:i/>
          <w:color w:val="auto"/>
          <w:sz w:val="24"/>
          <w:szCs w:val="24"/>
          <w:lang w:eastAsia="el-GR"/>
        </w:rPr>
        <w:t>Γενικές αρχές και υποχρεώσεις των ηλεκτρονικών καταστημάτων</w:t>
      </w:r>
    </w:p>
    <w:p w14:paraId="7564A9C1" w14:textId="79AB2246"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Α. Γενικές αρχές</w:t>
      </w:r>
    </w:p>
    <w:p w14:paraId="31D15104" w14:textId="77777777"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Ο Κώδικας διέπεται από τις αρχές της προστασίας του καταναλωτή, της διαφάνειας, της αμεροληψίας, της τεχνολογικής ουδετερότητας, της επαγγελματικής δεοντολογίας, της ηθικής συμπεριφοράς και του σεβασμού στην ιδιωτική ζωή, της προστασίας των προσωπικών δεδομένων και της προστασίας των ευάλωτων ομάδων πληθυσμού όπως ειδικότερα αναφέρονται στα άρθρα 4 και 5 του παρόντος.</w:t>
      </w:r>
    </w:p>
    <w:p w14:paraId="461DE2B1" w14:textId="77777777"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Β. Ελάχιστα στοιχεία ενημέρωσης του καταναλωτή</w:t>
      </w:r>
    </w:p>
    <w:p w14:paraId="038E6AC9" w14:textId="77777777"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w:t>
      </w:r>
    </w:p>
    <w:p w14:paraId="09A34344" w14:textId="77777777" w:rsidR="00B73047" w:rsidRPr="003233E0" w:rsidRDefault="00B73047" w:rsidP="000C10B4">
      <w:pPr>
        <w:rPr>
          <w:rFonts w:asciiTheme="minorHAnsi" w:eastAsia="Cambria" w:hAnsiTheme="minorHAnsi" w:cs="Cambria"/>
          <w:i/>
          <w:color w:val="auto"/>
          <w:sz w:val="24"/>
          <w:szCs w:val="24"/>
          <w:lang w:eastAsia="el-GR"/>
        </w:rPr>
      </w:pPr>
      <w:proofErr w:type="spellStart"/>
      <w:r w:rsidRPr="003233E0">
        <w:rPr>
          <w:rFonts w:asciiTheme="minorHAnsi" w:eastAsia="Cambria" w:hAnsiTheme="minorHAnsi" w:cs="Cambria"/>
          <w:i/>
          <w:color w:val="auto"/>
          <w:sz w:val="24"/>
          <w:szCs w:val="24"/>
          <w:lang w:eastAsia="el-GR"/>
        </w:rPr>
        <w:t>χiii</w:t>
      </w:r>
      <w:proofErr w:type="spellEnd"/>
      <w:r w:rsidRPr="003233E0">
        <w:rPr>
          <w:rFonts w:asciiTheme="minorHAnsi" w:eastAsia="Cambria" w:hAnsiTheme="minorHAnsi" w:cs="Cambria"/>
          <w:i/>
          <w:color w:val="auto"/>
          <w:sz w:val="24"/>
          <w:szCs w:val="24"/>
          <w:lang w:eastAsia="el-GR"/>
        </w:rPr>
        <w:t>. Η ανωτέρω πληροφόρηση προς τον καταναλωτή πρέπει να είναι κατανοητή, νόμιμη, αληθής, επικαιροποιημένη, εύκολα προσβάσιμη σε όλους, συμπεριλαμβανομένων των ατόμων με αναπηρία, και επαληθεύσιμη και να γίνεται υποχρεωτικά στην ελληνική γλώσσα και προαιρετικά σε άλλη γλώσσα.</w:t>
      </w:r>
    </w:p>
    <w:p w14:paraId="6EF184BC" w14:textId="46193AF5" w:rsidR="00B73047" w:rsidRPr="003233E0" w:rsidRDefault="00AA527F" w:rsidP="000C10B4">
      <w:pPr>
        <w:rPr>
          <w:rFonts w:asciiTheme="minorHAnsi" w:eastAsia="Cambria" w:hAnsiTheme="minorHAnsi" w:cs="Cambria"/>
          <w:b/>
          <w:i/>
          <w:color w:val="auto"/>
          <w:sz w:val="24"/>
          <w:szCs w:val="24"/>
          <w:lang w:eastAsia="el-GR"/>
        </w:rPr>
      </w:pPr>
      <w:r w:rsidRPr="003233E0">
        <w:rPr>
          <w:rFonts w:asciiTheme="minorHAnsi" w:eastAsia="Cambria" w:hAnsiTheme="minorHAnsi" w:cs="Cambria"/>
          <w:b/>
          <w:i/>
          <w:color w:val="auto"/>
          <w:sz w:val="24"/>
          <w:szCs w:val="24"/>
          <w:lang w:eastAsia="el-GR"/>
        </w:rPr>
        <w:t xml:space="preserve">Άρθρο 4 </w:t>
      </w:r>
      <w:r w:rsidR="00B73047" w:rsidRPr="003233E0">
        <w:rPr>
          <w:rFonts w:asciiTheme="minorHAnsi" w:eastAsia="Cambria" w:hAnsiTheme="minorHAnsi" w:cs="Cambria"/>
          <w:b/>
          <w:i/>
          <w:color w:val="auto"/>
          <w:sz w:val="24"/>
          <w:szCs w:val="24"/>
          <w:lang w:eastAsia="el-GR"/>
        </w:rPr>
        <w:t>Προστασία ανηλίκων και άλλων ευάλωτων ομάδων του πληθυσμού</w:t>
      </w:r>
    </w:p>
    <w:p w14:paraId="427E0B72" w14:textId="77777777"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lastRenderedPageBreak/>
        <w:t>1. Το προσωπικό της επιχείρησης δεν εκμεταλλεύεται την αδυναμία καταναλωτών που ανήκουν σε ευάλωτες ομάδες, όπως ηλικιωμένων, ανήλικων ατόμων, ατόμων που δεν καταλαβαίνουν καλά την ελληνική γλώσσα, είτε ατόμων με αναπηρία. Οι επιχειρήσεις προβαίνουν σε προσεκτικές, ακριβείς και αντικειμενικές περιγραφές των προϊόντων και υπηρεσιών που απευθύνονται ειδικά σε τέτοια άτομα κατά τρόπο εύληπτο, κατανοητό και πλήρως προσβάσιμο σε αυτά, ώστε να μην τα παραπλανούν όσον αφορά το πραγματικό μέγεθος, την αξία, τη φύση, τον σκοπό, την ανθεκτικότητα, την απόδοση και την τιμή του εκάστοτε διαφημιζόμενου προϊόντος ή υπηρεσίας.</w:t>
      </w:r>
    </w:p>
    <w:p w14:paraId="5D1615D6" w14:textId="096B653C" w:rsidR="00B73047" w:rsidRPr="003233E0" w:rsidRDefault="00B73047" w:rsidP="000C10B4">
      <w:pPr>
        <w:rPr>
          <w:rFonts w:asciiTheme="minorHAnsi" w:eastAsia="Cambria" w:hAnsiTheme="minorHAnsi" w:cs="Cambria"/>
          <w:i/>
          <w:color w:val="auto"/>
          <w:sz w:val="24"/>
          <w:szCs w:val="24"/>
          <w:lang w:eastAsia="el-GR"/>
        </w:rPr>
      </w:pPr>
      <w:r w:rsidRPr="003233E0">
        <w:rPr>
          <w:rFonts w:asciiTheme="minorHAnsi" w:eastAsia="Cambria" w:hAnsiTheme="minorHAnsi" w:cs="Cambria"/>
          <w:i/>
          <w:color w:val="auto"/>
          <w:sz w:val="24"/>
          <w:szCs w:val="24"/>
          <w:lang w:eastAsia="el-GR"/>
        </w:rPr>
        <w:t>2. [...]</w:t>
      </w:r>
      <w:r w:rsidR="00AA527F" w:rsidRPr="003233E0">
        <w:rPr>
          <w:rFonts w:asciiTheme="minorHAnsi" w:eastAsia="Cambria" w:hAnsiTheme="minorHAnsi" w:cs="Cambria"/>
          <w:i/>
          <w:color w:val="auto"/>
          <w:sz w:val="24"/>
          <w:szCs w:val="24"/>
          <w:lang w:eastAsia="el-GR"/>
        </w:rPr>
        <w:t>»</w:t>
      </w:r>
    </w:p>
    <w:p w14:paraId="061075F7" w14:textId="68BC5B0A" w:rsidR="009C639C" w:rsidRPr="003233E0" w:rsidRDefault="00656929" w:rsidP="000C10B4">
      <w:pPr>
        <w:rPr>
          <w:rFonts w:asciiTheme="minorHAnsi" w:eastAsia="Cambria" w:hAnsiTheme="minorHAnsi" w:cs="Cambria"/>
          <w:b/>
          <w:color w:val="auto"/>
          <w:sz w:val="24"/>
          <w:szCs w:val="24"/>
          <w:lang w:eastAsia="el-GR"/>
        </w:rPr>
      </w:pPr>
      <w:r w:rsidRPr="003233E0">
        <w:rPr>
          <w:rFonts w:asciiTheme="minorHAnsi" w:eastAsia="Cambria" w:hAnsiTheme="minorHAnsi" w:cs="Cambria"/>
          <w:b/>
          <w:color w:val="auto"/>
          <w:sz w:val="24"/>
          <w:szCs w:val="24"/>
          <w:lang w:eastAsia="el-GR"/>
        </w:rPr>
        <w:t xml:space="preserve"> </w:t>
      </w:r>
      <w:r w:rsidR="005933BE" w:rsidRPr="003233E0">
        <w:rPr>
          <w:rFonts w:asciiTheme="minorHAnsi" w:eastAsia="Cambria" w:hAnsiTheme="minorHAnsi" w:cs="Cambria"/>
          <w:b/>
          <w:color w:val="auto"/>
          <w:sz w:val="24"/>
          <w:szCs w:val="24"/>
          <w:lang w:eastAsia="el-GR"/>
        </w:rPr>
        <w:t>Τ</w:t>
      </w:r>
      <w:r w:rsidR="00AA527F" w:rsidRPr="003233E0">
        <w:rPr>
          <w:rFonts w:asciiTheme="minorHAnsi" w:eastAsia="Cambria" w:hAnsiTheme="minorHAnsi" w:cs="Cambria"/>
          <w:b/>
          <w:color w:val="auto"/>
          <w:sz w:val="24"/>
          <w:szCs w:val="24"/>
          <w:lang w:eastAsia="el-GR"/>
        </w:rPr>
        <w:t xml:space="preserve">ο σύνολο των διατάξεων των άρθρων 4 και 5 </w:t>
      </w:r>
      <w:r w:rsidR="009C639C" w:rsidRPr="003233E0">
        <w:rPr>
          <w:rFonts w:asciiTheme="minorHAnsi" w:eastAsia="Cambria" w:hAnsiTheme="minorHAnsi" w:cs="Cambria"/>
          <w:b/>
          <w:color w:val="auto"/>
          <w:sz w:val="24"/>
          <w:szCs w:val="24"/>
          <w:lang w:eastAsia="el-GR"/>
        </w:rPr>
        <w:t>τη</w:t>
      </w:r>
      <w:r w:rsidR="00AA527F" w:rsidRPr="003233E0">
        <w:rPr>
          <w:rFonts w:asciiTheme="minorHAnsi" w:eastAsia="Cambria" w:hAnsiTheme="minorHAnsi" w:cs="Cambria"/>
          <w:b/>
          <w:color w:val="auto"/>
          <w:sz w:val="24"/>
          <w:szCs w:val="24"/>
          <w:lang w:eastAsia="el-GR"/>
        </w:rPr>
        <w:t>ς</w:t>
      </w:r>
      <w:r w:rsidR="009C639C" w:rsidRPr="003233E0">
        <w:rPr>
          <w:rFonts w:asciiTheme="minorHAnsi" w:eastAsia="Cambria" w:hAnsiTheme="minorHAnsi" w:cs="Cambria"/>
          <w:b/>
          <w:color w:val="auto"/>
          <w:sz w:val="24"/>
          <w:szCs w:val="24"/>
          <w:lang w:eastAsia="el-GR"/>
        </w:rPr>
        <w:t xml:space="preserve"> Σύμβαση</w:t>
      </w:r>
      <w:r w:rsidR="00AA527F" w:rsidRPr="003233E0">
        <w:rPr>
          <w:rFonts w:asciiTheme="minorHAnsi" w:eastAsia="Cambria" w:hAnsiTheme="minorHAnsi" w:cs="Cambria"/>
          <w:b/>
          <w:color w:val="auto"/>
          <w:sz w:val="24"/>
          <w:szCs w:val="24"/>
          <w:lang w:eastAsia="el-GR"/>
        </w:rPr>
        <w:t>ς</w:t>
      </w:r>
      <w:r w:rsidR="009C639C" w:rsidRPr="003233E0">
        <w:rPr>
          <w:rFonts w:asciiTheme="minorHAnsi" w:eastAsia="Cambria" w:hAnsiTheme="minorHAnsi" w:cs="Cambria"/>
          <w:b/>
          <w:color w:val="auto"/>
          <w:sz w:val="24"/>
          <w:szCs w:val="24"/>
          <w:lang w:eastAsia="el-GR"/>
        </w:rPr>
        <w:t xml:space="preserve"> των Ηνωμένων Εθνών για τα Δικαιώματα των Ατόμων με Αναπηρία, </w:t>
      </w:r>
      <w:r w:rsidR="00AA527F" w:rsidRPr="003233E0">
        <w:rPr>
          <w:rFonts w:asciiTheme="minorHAnsi" w:eastAsia="Cambria" w:hAnsiTheme="minorHAnsi" w:cs="Cambria"/>
          <w:b/>
          <w:color w:val="auto"/>
          <w:sz w:val="24"/>
          <w:szCs w:val="24"/>
          <w:lang w:eastAsia="el-GR"/>
        </w:rPr>
        <w:t xml:space="preserve">την οποία, </w:t>
      </w:r>
      <w:r w:rsidR="009C639C" w:rsidRPr="003233E0">
        <w:rPr>
          <w:rFonts w:asciiTheme="minorHAnsi" w:eastAsia="Cambria" w:hAnsiTheme="minorHAnsi" w:cs="Cambria"/>
          <w:b/>
          <w:color w:val="auto"/>
          <w:sz w:val="24"/>
          <w:szCs w:val="24"/>
          <w:lang w:eastAsia="el-GR"/>
        </w:rPr>
        <w:t xml:space="preserve">μαζί με το προαιρετικό </w:t>
      </w:r>
      <w:r w:rsidR="00AA527F" w:rsidRPr="003233E0">
        <w:rPr>
          <w:rFonts w:asciiTheme="minorHAnsi" w:eastAsia="Cambria" w:hAnsiTheme="minorHAnsi" w:cs="Cambria"/>
          <w:b/>
          <w:color w:val="auto"/>
          <w:sz w:val="24"/>
          <w:szCs w:val="24"/>
          <w:lang w:eastAsia="el-GR"/>
        </w:rPr>
        <w:t xml:space="preserve">της πρωτόκολλο, </w:t>
      </w:r>
      <w:r w:rsidR="009C639C" w:rsidRPr="003233E0">
        <w:rPr>
          <w:rFonts w:asciiTheme="minorHAnsi" w:eastAsia="Cambria" w:hAnsiTheme="minorHAnsi" w:cs="Cambria"/>
          <w:b/>
          <w:color w:val="auto"/>
          <w:sz w:val="24"/>
          <w:szCs w:val="24"/>
          <w:lang w:eastAsia="el-GR"/>
        </w:rPr>
        <w:t xml:space="preserve">επικύρωσε η Ευρωπαϊκή Ένωση, καθώς και η χώρα μας με τον Ν.4074/2012 (ΦΕΚ 88 Α΄/11.04.2012), γεγονός που συνεπάγεται την εφαρμογή της </w:t>
      </w:r>
      <w:r w:rsidRPr="003233E0">
        <w:rPr>
          <w:rFonts w:asciiTheme="minorHAnsi" w:eastAsia="Cambria" w:hAnsiTheme="minorHAnsi" w:cs="Cambria"/>
          <w:b/>
          <w:color w:val="auto"/>
          <w:sz w:val="24"/>
          <w:szCs w:val="24"/>
          <w:lang w:eastAsia="el-GR"/>
        </w:rPr>
        <w:t>σε ευρωπαϊκό και εθνικό επίπεδο,</w:t>
      </w:r>
    </w:p>
    <w:p w14:paraId="16A8990B" w14:textId="6E7B7BAF" w:rsidR="005D0731" w:rsidRPr="003233E0" w:rsidRDefault="009C639C" w:rsidP="000C10B4">
      <w:pPr>
        <w:rPr>
          <w:rFonts w:asciiTheme="minorHAnsi" w:eastAsia="Cambria" w:hAnsiTheme="minorHAnsi" w:cs="Cambria"/>
          <w:b/>
          <w:color w:val="auto"/>
          <w:sz w:val="24"/>
          <w:szCs w:val="24"/>
          <w:u w:val="single"/>
          <w:lang w:eastAsia="el-GR"/>
        </w:rPr>
      </w:pPr>
      <w:r w:rsidRPr="003233E0">
        <w:rPr>
          <w:rFonts w:asciiTheme="minorHAnsi" w:eastAsia="Cambria" w:hAnsiTheme="minorHAnsi" w:cs="Cambria"/>
          <w:b/>
          <w:color w:val="auto"/>
          <w:sz w:val="24"/>
          <w:szCs w:val="24"/>
          <w:u w:val="single"/>
          <w:lang w:eastAsia="el-GR"/>
        </w:rPr>
        <w:t>η Ε.Σ.Α.μεΑ. προτείνει και αιτείται ανά άρθρο του παρόντος σχεδίου νόμου τις ακόλουθες τροποποιήσεις, συμπληρώσεις και προσθήκες:</w:t>
      </w:r>
    </w:p>
    <w:p w14:paraId="16A29957" w14:textId="42BA2351"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1</w:t>
      </w:r>
      <w:r w:rsidR="005D0731" w:rsidRPr="003233E0">
        <w:rPr>
          <w:rFonts w:asciiTheme="minorHAnsi" w:hAnsiTheme="minorHAnsi"/>
          <w:b/>
          <w:bCs/>
          <w:color w:val="auto"/>
          <w:spacing w:val="-13"/>
          <w:sz w:val="24"/>
          <w:szCs w:val="24"/>
          <w:lang w:eastAsia="el-GR"/>
        </w:rPr>
        <w:t>)  Το άρθρο 02 να συμπληρωθεί ως εξής (βλ. κείμενο με έντονους χαρακτήρες)</w:t>
      </w:r>
    </w:p>
    <w:p w14:paraId="76E15A9F" w14:textId="01429160"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Άρθρο 02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Ορισμοί </w:t>
      </w:r>
    </w:p>
    <w:p w14:paraId="3E5E728F" w14:textId="77777777" w:rsidR="005D0731" w:rsidRPr="003233E0" w:rsidRDefault="005D0731" w:rsidP="000C10B4">
      <w:pPr>
        <w:rPr>
          <w:rFonts w:asciiTheme="minorHAnsi" w:hAnsiTheme="minorHAnsi"/>
          <w:color w:val="auto"/>
          <w:sz w:val="24"/>
          <w:szCs w:val="24"/>
          <w:lang w:eastAsia="el-GR"/>
        </w:rPr>
      </w:pPr>
      <w:r w:rsidRPr="003233E0">
        <w:rPr>
          <w:rFonts w:asciiTheme="minorHAnsi" w:hAnsiTheme="minorHAnsi"/>
          <w:color w:val="auto"/>
          <w:sz w:val="24"/>
          <w:szCs w:val="24"/>
          <w:lang w:eastAsia="el-GR"/>
        </w:rPr>
        <w:t>Για την εφαρμογή του παρόντος νόμου ισχύουν οι ακόλουθοι ορισμοί:</w:t>
      </w:r>
    </w:p>
    <w:p w14:paraId="485DA7E6" w14:textId="77777777" w:rsidR="005D0731" w:rsidRPr="003233E0" w:rsidRDefault="005D0731" w:rsidP="000C10B4">
      <w:pPr>
        <w:rPr>
          <w:rFonts w:asciiTheme="minorHAnsi" w:eastAsia="Calibri" w:hAnsiTheme="minorHAnsi"/>
          <w:color w:val="auto"/>
          <w:sz w:val="24"/>
          <w:szCs w:val="24"/>
        </w:rPr>
      </w:pPr>
      <w:r w:rsidRPr="003233E0">
        <w:rPr>
          <w:rFonts w:asciiTheme="minorHAnsi" w:eastAsia="Calibri" w:hAnsiTheme="minorHAnsi"/>
          <w:color w:val="auto"/>
          <w:sz w:val="24"/>
          <w:szCs w:val="24"/>
        </w:rPr>
        <w:t>[…]</w:t>
      </w:r>
    </w:p>
    <w:p w14:paraId="4BFEF520" w14:textId="77777777" w:rsidR="005D0731" w:rsidRPr="003233E0" w:rsidRDefault="005D0731" w:rsidP="000C10B4">
      <w:pPr>
        <w:rPr>
          <w:rFonts w:asciiTheme="minorHAnsi" w:eastAsia="Calibri" w:hAnsiTheme="minorHAnsi"/>
          <w:b/>
          <w:color w:val="auto"/>
          <w:sz w:val="24"/>
          <w:szCs w:val="24"/>
          <w:shd w:val="clear" w:color="auto" w:fill="FFFFFF"/>
        </w:rPr>
      </w:pPr>
      <w:proofErr w:type="spellStart"/>
      <w:r w:rsidRPr="003233E0">
        <w:rPr>
          <w:rFonts w:asciiTheme="minorHAnsi" w:eastAsia="Calibri" w:hAnsiTheme="minorHAnsi"/>
          <w:color w:val="auto"/>
          <w:sz w:val="24"/>
          <w:szCs w:val="24"/>
          <w:shd w:val="clear" w:color="auto" w:fill="FFFFFF"/>
        </w:rPr>
        <w:t>ιε</w:t>
      </w:r>
      <w:proofErr w:type="spellEnd"/>
      <w:r w:rsidRPr="003233E0">
        <w:rPr>
          <w:rFonts w:asciiTheme="minorHAnsi" w:eastAsia="Calibri" w:hAnsiTheme="minorHAnsi"/>
          <w:color w:val="auto"/>
          <w:sz w:val="24"/>
          <w:szCs w:val="24"/>
          <w:shd w:val="clear" w:color="auto" w:fill="FFFFFF"/>
        </w:rPr>
        <w:t xml:space="preserve">) Κίνδυνος: η πιθανή βλάβη που δύναται να προκληθεί σε μια πτυχή του δημοσίου συμφέροντος, ως αποτέλεσμα οικονομικής δραστηριότητας ή/και της προοριζόμενης χρήσης των προϊόντων. Ο κίνδυνος προσδιορίζεται ιδίως από το μέγεθος της πιθανότητας επέλευσης της βλάβης, τη σοβαρότητα και το μέγεθος αυτής καθώς και από τη συχνότητα επανάληψης της μη συμμορφούμενης συμπεριφοράς του οικονομικού φορέα. </w:t>
      </w:r>
      <w:r w:rsidRPr="003233E0">
        <w:rPr>
          <w:rFonts w:asciiTheme="minorHAnsi" w:eastAsia="Calibri" w:hAnsiTheme="minorHAnsi"/>
          <w:b/>
          <w:color w:val="auto"/>
          <w:sz w:val="24"/>
          <w:szCs w:val="24"/>
          <w:shd w:val="clear" w:color="auto" w:fill="FFFFFF"/>
        </w:rPr>
        <w:t>Ως κίνδυνος νοείται και η διάκριση σε βάρος των ατόμων με αναπηρία που οδηγεί σε κοινωνικό και οικονομικό αποκλεισμό τους.</w:t>
      </w:r>
    </w:p>
    <w:p w14:paraId="410C29C8" w14:textId="1484B416"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2</w:t>
      </w:r>
      <w:r w:rsidR="005D0731" w:rsidRPr="003233E0">
        <w:rPr>
          <w:rFonts w:asciiTheme="minorHAnsi" w:hAnsiTheme="minorHAnsi"/>
          <w:b/>
          <w:bCs/>
          <w:color w:val="auto"/>
          <w:spacing w:val="-13"/>
          <w:sz w:val="24"/>
          <w:szCs w:val="24"/>
          <w:lang w:eastAsia="el-GR"/>
        </w:rPr>
        <w:t>)  Το άρθρο 06 να συμπληρωθεί ως εξής (βλ. κείμενο με έντονους χαρακτήρες)</w:t>
      </w:r>
    </w:p>
    <w:p w14:paraId="0AABADE8" w14:textId="4A0A8AEE"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Άρθρο 06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Σχεδιασμός και Στόχευση των Ελέγχων</w:t>
      </w:r>
    </w:p>
    <w:p w14:paraId="07530F03"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6. H μεθοδολογία κατάρτισης του προγράμματος ελέγχων των προϊόντων βασίζεται στο συνδυασμό της σοβαρότητας και της πιθανότητας της βλάβης που το προϊόν δύναται να επιφέρει στην υγεία του καταναλωτή και περιλαμβάνει ιδίως δύο κριτήρια:</w:t>
      </w:r>
    </w:p>
    <w:p w14:paraId="18738962"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6.1. Τον βαθμό κινδύνου του προϊόντος ο οποίος προσδιορίζεται με βάση την περιγραφή, τα χαρακτηριστικά και τη σκοπούμενη χρήση του, το συνολικό χρόνο ζωής του και την ύπαρξη ή μη προειδοποιητικών ετικετών και επισημάνσεων, στο προϊόν. Για τον προσδιορισμό του βαθμού κινδύνου λαμβάνονται υπόψη πληροφορίες </w:t>
      </w:r>
      <w:r w:rsidRPr="003233E0">
        <w:rPr>
          <w:rFonts w:asciiTheme="minorHAnsi" w:hAnsiTheme="minorHAnsi"/>
          <w:bCs/>
          <w:color w:val="auto"/>
          <w:spacing w:val="-13"/>
          <w:sz w:val="24"/>
          <w:szCs w:val="24"/>
          <w:lang w:eastAsia="el-GR"/>
        </w:rPr>
        <w:lastRenderedPageBreak/>
        <w:t>από την αξιολόγηση της συμμόρφωσης για παρόμοια προϊόντα μέσω των διαφόρων ενωσιακών μηχανισμών ανταλλαγής πληροφοριών.</w:t>
      </w:r>
    </w:p>
    <w:p w14:paraId="7B584BA0" w14:textId="236A3D49"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6.2 Την ομάδα και τον αριθμό των καταναλωτών για τους οποίους προορίζεται το προϊόν. Ιδίως εξετάζεται εάν το προϊόν χρησιμοποιείται ή όχι από ευάλωτες ομάδες καταναλωτών και εάν πληρούνται οι προϋποθέσεις ισότιμης πρόσβασης αυτών και ιδιαίτερα των ατόμων με αναπηρία στο εν λόγω προϊόν, σύμφωνα με το πρότυπο ΕΛΟΤ 1439 «Οργανισμός φιλικός σε πολίτες με αναπηρία - Απαιτήσεις και συστάσεις».</w:t>
      </w:r>
    </w:p>
    <w:p w14:paraId="773B655C" w14:textId="77777777" w:rsidR="005D0731" w:rsidRPr="003233E0" w:rsidRDefault="005D0731" w:rsidP="000C10B4">
      <w:pPr>
        <w:rPr>
          <w:rFonts w:asciiTheme="minorHAnsi" w:eastAsia="Calibri" w:hAnsiTheme="minorHAnsi"/>
          <w:color w:val="auto"/>
          <w:sz w:val="24"/>
          <w:szCs w:val="24"/>
          <w:shd w:val="clear" w:color="auto" w:fill="FFFFFF"/>
        </w:rPr>
      </w:pPr>
      <w:r w:rsidRPr="003233E0">
        <w:rPr>
          <w:rFonts w:asciiTheme="minorHAnsi" w:eastAsia="Calibri" w:hAnsiTheme="minorHAnsi"/>
          <w:color w:val="auto"/>
          <w:sz w:val="24"/>
          <w:szCs w:val="24"/>
          <w:shd w:val="clear" w:color="auto" w:fill="FFFFFF"/>
        </w:rPr>
        <w:t>[...]</w:t>
      </w:r>
    </w:p>
    <w:p w14:paraId="34506706" w14:textId="3305AB70"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3</w:t>
      </w:r>
      <w:r w:rsidR="005D0731" w:rsidRPr="003233E0">
        <w:rPr>
          <w:rFonts w:asciiTheme="minorHAnsi" w:hAnsiTheme="minorHAnsi"/>
          <w:b/>
          <w:bCs/>
          <w:color w:val="auto"/>
          <w:spacing w:val="-13"/>
          <w:sz w:val="24"/>
          <w:szCs w:val="24"/>
          <w:lang w:eastAsia="el-GR"/>
        </w:rPr>
        <w:t>)  Το άρθρο 07 να συμπληρωθεί ως εξής (βλ. κείμενο με έντονους χαρακτήρες)</w:t>
      </w:r>
    </w:p>
    <w:p w14:paraId="0B8D0F73" w14:textId="455D39C7"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Άρθρο 07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Διαχείριση καταγγελιών</w:t>
      </w:r>
    </w:p>
    <w:p w14:paraId="3D966015" w14:textId="77777777" w:rsidR="005D0731" w:rsidRPr="003233E0" w:rsidRDefault="005D0731" w:rsidP="000C10B4">
      <w:pPr>
        <w:rPr>
          <w:rFonts w:asciiTheme="minorHAnsi" w:eastAsia="Calibri" w:hAnsiTheme="minorHAnsi"/>
          <w:color w:val="auto"/>
          <w:sz w:val="24"/>
          <w:szCs w:val="24"/>
        </w:rPr>
      </w:pPr>
      <w:r w:rsidRPr="003233E0">
        <w:rPr>
          <w:rFonts w:asciiTheme="minorHAnsi" w:eastAsia="Calibri" w:hAnsiTheme="minorHAnsi"/>
          <w:color w:val="auto"/>
          <w:sz w:val="24"/>
          <w:szCs w:val="24"/>
        </w:rPr>
        <w:t>[...]</w:t>
      </w:r>
    </w:p>
    <w:p w14:paraId="4CF0CD09" w14:textId="77777777" w:rsidR="005D0731" w:rsidRPr="003233E0" w:rsidRDefault="005D0731" w:rsidP="000C10B4">
      <w:pPr>
        <w:rPr>
          <w:rFonts w:asciiTheme="minorHAnsi" w:eastAsia="Calibri" w:hAnsiTheme="minorHAnsi"/>
          <w:color w:val="auto"/>
          <w:sz w:val="24"/>
          <w:szCs w:val="24"/>
          <w:shd w:val="clear" w:color="auto" w:fill="FFFFFF"/>
        </w:rPr>
      </w:pPr>
      <w:r w:rsidRPr="003233E0">
        <w:rPr>
          <w:rFonts w:asciiTheme="minorHAnsi" w:eastAsia="Calibri" w:hAnsiTheme="minorHAnsi"/>
          <w:color w:val="auto"/>
          <w:sz w:val="24"/>
          <w:szCs w:val="24"/>
          <w:shd w:val="clear" w:color="auto" w:fill="FFFFFF"/>
        </w:rPr>
        <w:t>4. Κριτήρια αξιολόγησης που δύνανται να τίθενται κατά την αξιολόγηση των καταγγελιών είναι τα ακόλουθα:</w:t>
      </w:r>
      <w:r w:rsidRPr="003233E0">
        <w:rPr>
          <w:rFonts w:asciiTheme="minorHAnsi" w:eastAsia="Calibri" w:hAnsiTheme="minorHAnsi"/>
          <w:color w:val="auto"/>
          <w:sz w:val="24"/>
          <w:szCs w:val="24"/>
        </w:rPr>
        <w:br/>
      </w:r>
      <w:r w:rsidRPr="003233E0">
        <w:rPr>
          <w:rFonts w:asciiTheme="minorHAnsi" w:eastAsia="Calibri" w:hAnsiTheme="minorHAnsi"/>
          <w:color w:val="auto"/>
          <w:sz w:val="24"/>
          <w:szCs w:val="24"/>
          <w:shd w:val="clear" w:color="auto" w:fill="FFFFFF"/>
        </w:rPr>
        <w:t>[...]</w:t>
      </w:r>
    </w:p>
    <w:p w14:paraId="4CF6B014" w14:textId="77777777" w:rsidR="005D0731" w:rsidRPr="003233E0" w:rsidRDefault="005D0731" w:rsidP="000C10B4">
      <w:pPr>
        <w:rPr>
          <w:rFonts w:asciiTheme="minorHAnsi" w:eastAsia="Calibri" w:hAnsiTheme="minorHAnsi"/>
          <w:b/>
          <w:color w:val="auto"/>
          <w:sz w:val="24"/>
          <w:szCs w:val="24"/>
          <w:shd w:val="clear" w:color="auto" w:fill="FFFFFF"/>
        </w:rPr>
      </w:pPr>
      <w:r w:rsidRPr="003233E0">
        <w:rPr>
          <w:rFonts w:asciiTheme="minorHAnsi" w:eastAsia="Calibri" w:hAnsiTheme="minorHAnsi"/>
          <w:color w:val="auto"/>
          <w:sz w:val="24"/>
          <w:szCs w:val="24"/>
          <w:shd w:val="clear" w:color="auto" w:fill="FFFFFF"/>
        </w:rPr>
        <w:t xml:space="preserve">4.8 Η ομάδα καταναλωτών που εκτίθενται σε κίνδυνο, και η τυχόν χρήση από ευαίσθητες ομάδες </w:t>
      </w:r>
      <w:r w:rsidRPr="003233E0">
        <w:rPr>
          <w:rFonts w:asciiTheme="minorHAnsi" w:eastAsia="Calibri" w:hAnsiTheme="minorHAnsi"/>
          <w:b/>
          <w:color w:val="auto"/>
          <w:sz w:val="24"/>
          <w:szCs w:val="24"/>
          <w:shd w:val="clear" w:color="auto" w:fill="FFFFFF"/>
        </w:rPr>
        <w:t>και ιδιαίτερα από άτομα με αναπηρία.</w:t>
      </w:r>
    </w:p>
    <w:p w14:paraId="2A0A4711" w14:textId="2AFA13E0"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4</w:t>
      </w:r>
      <w:r w:rsidR="005D0731" w:rsidRPr="003233E0">
        <w:rPr>
          <w:rFonts w:asciiTheme="minorHAnsi" w:hAnsiTheme="minorHAnsi"/>
          <w:b/>
          <w:bCs/>
          <w:color w:val="auto"/>
          <w:spacing w:val="-13"/>
          <w:sz w:val="24"/>
          <w:szCs w:val="24"/>
          <w:lang w:eastAsia="el-GR"/>
        </w:rPr>
        <w:t>)  Το άρθρο 11 να συμπληρωθεί ως εξής (βλ. κείμενο με έντονους χαρακτήρες)</w:t>
      </w:r>
    </w:p>
    <w:p w14:paraId="675512E4" w14:textId="1E8C7099"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Άρθρο 11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Γενικές λειτουργίες εποπτευουσών αρχών</w:t>
      </w:r>
    </w:p>
    <w:p w14:paraId="45C2AC1D" w14:textId="7408610F" w:rsidR="005D0731" w:rsidRPr="003233E0" w:rsidRDefault="005D0731" w:rsidP="000C10B4">
      <w:pPr>
        <w:rPr>
          <w:rFonts w:asciiTheme="minorHAnsi" w:eastAsia="Calibri" w:hAnsiTheme="minorHAnsi" w:cs="MyriadPro-Regular"/>
          <w:b/>
          <w:color w:val="auto"/>
          <w:sz w:val="24"/>
          <w:szCs w:val="24"/>
        </w:rPr>
      </w:pPr>
      <w:r w:rsidRPr="003233E0">
        <w:rPr>
          <w:rFonts w:asciiTheme="minorHAnsi" w:eastAsia="Calibri" w:hAnsiTheme="minorHAnsi"/>
          <w:color w:val="auto"/>
          <w:sz w:val="24"/>
          <w:szCs w:val="24"/>
        </w:rPr>
        <w:t>Οι αρμόδιες εποπτεύουσες αρχές επιτελούν τις κάτωθι γενικές λειτουργ</w:t>
      </w:r>
      <w:r w:rsidR="0095656A" w:rsidRPr="003233E0">
        <w:rPr>
          <w:rFonts w:asciiTheme="minorHAnsi" w:eastAsia="Calibri" w:hAnsiTheme="minorHAnsi"/>
          <w:color w:val="auto"/>
          <w:sz w:val="24"/>
          <w:szCs w:val="24"/>
        </w:rPr>
        <w:t xml:space="preserve">ίες, εντός του πεδίου </w:t>
      </w:r>
      <w:proofErr w:type="spellStart"/>
      <w:r w:rsidR="0095656A" w:rsidRPr="003233E0">
        <w:rPr>
          <w:rFonts w:asciiTheme="minorHAnsi" w:eastAsia="Calibri" w:hAnsiTheme="minorHAnsi"/>
          <w:color w:val="auto"/>
          <w:sz w:val="24"/>
          <w:szCs w:val="24"/>
        </w:rPr>
        <w:t>εποπτείας,</w:t>
      </w:r>
      <w:r w:rsidRPr="003233E0">
        <w:rPr>
          <w:rFonts w:asciiTheme="minorHAnsi" w:eastAsia="Calibri" w:hAnsiTheme="minorHAnsi"/>
          <w:color w:val="auto"/>
          <w:sz w:val="24"/>
          <w:szCs w:val="24"/>
        </w:rPr>
        <w:t>εκάστης</w:t>
      </w:r>
      <w:proofErr w:type="spellEnd"/>
      <w:r w:rsidRPr="003233E0">
        <w:rPr>
          <w:rFonts w:asciiTheme="minorHAnsi" w:eastAsia="Calibri" w:hAnsiTheme="minorHAnsi"/>
          <w:color w:val="auto"/>
          <w:sz w:val="24"/>
          <w:szCs w:val="24"/>
        </w:rPr>
        <w:t>.</w:t>
      </w:r>
      <w:r w:rsidRPr="003233E0">
        <w:rPr>
          <w:rFonts w:asciiTheme="minorHAnsi" w:eastAsia="Calibri" w:hAnsiTheme="minorHAnsi"/>
          <w:color w:val="auto"/>
          <w:sz w:val="24"/>
          <w:szCs w:val="24"/>
        </w:rPr>
        <w:br/>
        <w:t>1. Προωθούν και ελέγχουν τη συμμόρφωση, με την εκάστοτε ισχύουσα νομοθεσία.</w:t>
      </w:r>
      <w:r w:rsidRPr="003233E0">
        <w:rPr>
          <w:rFonts w:asciiTheme="minorHAnsi" w:eastAsia="Calibri" w:hAnsiTheme="minorHAnsi"/>
          <w:b/>
          <w:color w:val="auto"/>
          <w:sz w:val="24"/>
          <w:szCs w:val="24"/>
        </w:rPr>
        <w:t xml:space="preserve"> Μεριμνούν για </w:t>
      </w:r>
      <w:r w:rsidRPr="003233E0">
        <w:rPr>
          <w:rFonts w:asciiTheme="minorHAnsi" w:eastAsia="Calibri" w:hAnsiTheme="minorHAnsi" w:cs="MyriadPro-Regular"/>
          <w:b/>
          <w:color w:val="auto"/>
          <w:sz w:val="24"/>
          <w:szCs w:val="24"/>
        </w:rPr>
        <w:t>την αφαίρεση υφιστάμενων εμποδίων κάθε είδους, την τήρηση των αρχών καθολικού σχεδιασμού σε κάθε τομέα της αρμοδιότητάς τους, προκειμένου να διασφαλίζεται για τα ΑμεΑ η προσβασιμότητα των υποδομών, των υπηρεσιών ή των αγαθών που προσφέρονται, σύμφωνα με τα προβλεπόμενα από τον Ν. 4488/2017.</w:t>
      </w:r>
    </w:p>
    <w:p w14:paraId="5851B4F7" w14:textId="77777777" w:rsidR="005D0731" w:rsidRPr="003233E0" w:rsidRDefault="005D0731" w:rsidP="000C10B4">
      <w:pPr>
        <w:rPr>
          <w:rFonts w:asciiTheme="minorHAnsi" w:eastAsia="Calibri" w:hAnsiTheme="minorHAnsi"/>
          <w:color w:val="auto"/>
          <w:sz w:val="24"/>
          <w:szCs w:val="24"/>
        </w:rPr>
      </w:pPr>
      <w:r w:rsidRPr="003233E0">
        <w:rPr>
          <w:rFonts w:asciiTheme="minorHAnsi" w:eastAsia="Calibri" w:hAnsiTheme="minorHAnsi"/>
          <w:color w:val="auto"/>
          <w:sz w:val="24"/>
          <w:szCs w:val="24"/>
        </w:rPr>
        <w:t xml:space="preserve">2. Ενημερώνουν το κοινό για τους πιθανούς κινδύνους </w:t>
      </w:r>
      <w:r w:rsidRPr="003233E0">
        <w:rPr>
          <w:rFonts w:asciiTheme="minorHAnsi" w:eastAsia="Calibri" w:hAnsiTheme="minorHAnsi"/>
          <w:b/>
          <w:color w:val="auto"/>
          <w:sz w:val="24"/>
          <w:szCs w:val="24"/>
        </w:rPr>
        <w:t>σε μορφές προσβάσιμες από αυτό</w:t>
      </w:r>
      <w:r w:rsidRPr="003233E0">
        <w:rPr>
          <w:rFonts w:asciiTheme="minorHAnsi" w:eastAsia="Calibri" w:hAnsiTheme="minorHAnsi"/>
          <w:color w:val="auto"/>
          <w:sz w:val="24"/>
          <w:szCs w:val="24"/>
        </w:rPr>
        <w:t>.</w:t>
      </w:r>
      <w:r w:rsidRPr="003233E0">
        <w:rPr>
          <w:rFonts w:asciiTheme="minorHAnsi" w:eastAsia="Calibri" w:hAnsiTheme="minorHAnsi"/>
          <w:color w:val="auto"/>
          <w:sz w:val="24"/>
          <w:szCs w:val="24"/>
        </w:rPr>
        <w:br/>
        <w:t>3. [...]</w:t>
      </w:r>
    </w:p>
    <w:p w14:paraId="51985F2A" w14:textId="77777777" w:rsidR="005D0731" w:rsidRPr="003233E0" w:rsidRDefault="005D0731" w:rsidP="000C10B4">
      <w:pPr>
        <w:rPr>
          <w:rFonts w:asciiTheme="minorHAnsi" w:eastAsia="Calibri" w:hAnsiTheme="minorHAnsi"/>
          <w:color w:val="auto"/>
          <w:sz w:val="24"/>
          <w:szCs w:val="24"/>
        </w:rPr>
      </w:pPr>
      <w:r w:rsidRPr="003233E0">
        <w:rPr>
          <w:rFonts w:asciiTheme="minorHAnsi" w:eastAsia="Calibri" w:hAnsiTheme="minorHAnsi"/>
          <w:color w:val="auto"/>
          <w:sz w:val="24"/>
          <w:szCs w:val="24"/>
        </w:rPr>
        <w:t>Οι ως άνω λειτουργίες εκτελούνται με πρωταρχικό στόχο τη μείωση του κινδύνου που δύναται να προκαλείται από τη λειτουργία οικονομικών δραστηριοτήτων ως προς την ανθρώπινη υγεία, ασφάλεια, περιβάλλον και για οποιαδήποτε άλλη πτυχή του Δημοσίου Συμφέροντος. Οι λειτουργίες επιτελούνται με τρόπο που προάγει τη σχέση εμπιστοσύνης με τους οικονομικούς φορείς και βασίζονται στην ορθή επικοινωνία μεταξύ τους.</w:t>
      </w:r>
    </w:p>
    <w:p w14:paraId="3B5C3552" w14:textId="6A3F5922"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5</w:t>
      </w:r>
      <w:r w:rsidR="005D0731" w:rsidRPr="003233E0">
        <w:rPr>
          <w:rFonts w:asciiTheme="minorHAnsi" w:hAnsiTheme="minorHAnsi"/>
          <w:b/>
          <w:bCs/>
          <w:color w:val="auto"/>
          <w:spacing w:val="-13"/>
          <w:sz w:val="24"/>
          <w:szCs w:val="24"/>
          <w:lang w:eastAsia="el-GR"/>
        </w:rPr>
        <w:t>)  Το άρθρο 13 να συμπληρωθεί ως εξής (βλ. κείμενο με έντονους χαρακτήρες)</w:t>
      </w:r>
    </w:p>
    <w:p w14:paraId="5B76538B" w14:textId="7B7E8242"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lastRenderedPageBreak/>
        <w:t xml:space="preserve">Άρθρο 13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Πεδία Εποπτείας και αρμόδιες εποπτεύουσες αρχές</w:t>
      </w:r>
    </w:p>
    <w:p w14:paraId="0F953063"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1. Η εποπτεία ασκείται από τις αρμόδιες αρχές στα ακόλουθα πεδία:</w:t>
      </w:r>
    </w:p>
    <w:p w14:paraId="696DFDA2"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α) Ασφάλεια και συμμόρφωση προϊόντων</w:t>
      </w:r>
    </w:p>
    <w:p w14:paraId="3BA82E7B"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β) Ασφάλεια τροφίμου</w:t>
      </w:r>
    </w:p>
    <w:p w14:paraId="3E0BFD79"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γ) Προστασία καταναλωτή και σύννομη (ή προσήκουσα) παροχή υπηρεσιών</w:t>
      </w:r>
    </w:p>
    <w:p w14:paraId="6D07EE29"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γ) Ασφάλεια υποδομών και κατασκευών</w:t>
      </w:r>
    </w:p>
    <w:p w14:paraId="6448879D"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δ) Δημόσια υγεία</w:t>
      </w:r>
    </w:p>
    <w:p w14:paraId="4D878174"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ε) Ασφάλεια και υγεία εργαζομένων, συμπεριλαμβανομένης της πρόβλεψης εύλογων προσαρμογών για διευκόλυνση των εργαζομένων με αναπηρία</w:t>
      </w:r>
    </w:p>
    <w:p w14:paraId="627E1CCD"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στ) Προσβασιμότητα υποδομών, υπηρεσιών και αγαθών στα άτομα με αναπηρία, χρόνιες παθήσεις και γενικά στα άτομα με μειωμένη κινητικότητα όπως π.χ. άτομα γ’ ηλικίας κ.λπ. </w:t>
      </w:r>
    </w:p>
    <w:p w14:paraId="1B23C043"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ζ) Προστασία του περιβάλλοντος</w:t>
      </w:r>
    </w:p>
    <w:p w14:paraId="4593915F"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η) Προστασία δημοσίων εσόδων</w:t>
      </w:r>
    </w:p>
    <w:p w14:paraId="493CCAD8" w14:textId="77777777"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w:t>
      </w:r>
    </w:p>
    <w:p w14:paraId="03D96D03" w14:textId="352D0F7D" w:rsidR="005D0731" w:rsidRPr="003233E0" w:rsidRDefault="005933BE" w:rsidP="000C10B4">
      <w:pPr>
        <w:rPr>
          <w:rFonts w:asciiTheme="minorHAnsi" w:hAnsiTheme="minorHAnsi"/>
          <w:b/>
          <w:bCs/>
          <w:color w:val="auto"/>
          <w:spacing w:val="-13"/>
          <w:sz w:val="24"/>
          <w:szCs w:val="24"/>
          <w:lang w:eastAsia="el-GR"/>
        </w:rPr>
      </w:pPr>
      <w:r w:rsidRPr="003233E0">
        <w:rPr>
          <w:rFonts w:asciiTheme="minorHAnsi" w:hAnsiTheme="minorHAnsi"/>
          <w:b/>
          <w:bCs/>
          <w:color w:val="auto"/>
          <w:spacing w:val="-13"/>
          <w:sz w:val="24"/>
          <w:szCs w:val="24"/>
          <w:lang w:eastAsia="el-GR"/>
        </w:rPr>
        <w:t>6</w:t>
      </w:r>
      <w:r w:rsidR="005D0731" w:rsidRPr="003233E0">
        <w:rPr>
          <w:rFonts w:asciiTheme="minorHAnsi" w:hAnsiTheme="minorHAnsi"/>
          <w:b/>
          <w:bCs/>
          <w:color w:val="auto"/>
          <w:spacing w:val="-13"/>
          <w:sz w:val="24"/>
          <w:szCs w:val="24"/>
          <w:lang w:eastAsia="el-GR"/>
        </w:rPr>
        <w:t>)  Το άρθρο 21 να συμπληρωθεί ως εξής (βλ. κείμενο με έντονους χαρακτήρες)</w:t>
      </w:r>
    </w:p>
    <w:p w14:paraId="4737C363" w14:textId="13FF1A71" w:rsidR="005D0731" w:rsidRPr="003233E0" w:rsidRDefault="005D0731"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 xml:space="preserve">Άρθρο 21 </w:t>
      </w:r>
      <w:r w:rsidR="000C10B4" w:rsidRPr="003233E0">
        <w:rPr>
          <w:rFonts w:asciiTheme="minorHAnsi" w:hAnsiTheme="minorHAnsi"/>
          <w:bCs/>
          <w:color w:val="auto"/>
          <w:spacing w:val="-13"/>
          <w:sz w:val="24"/>
          <w:szCs w:val="24"/>
          <w:lang w:eastAsia="el-GR"/>
        </w:rPr>
        <w:t>-</w:t>
      </w:r>
      <w:r w:rsidRPr="003233E0">
        <w:rPr>
          <w:rFonts w:asciiTheme="minorHAnsi" w:hAnsiTheme="minorHAnsi"/>
          <w:bCs/>
          <w:color w:val="auto"/>
          <w:spacing w:val="-13"/>
          <w:sz w:val="24"/>
          <w:szCs w:val="24"/>
          <w:lang w:eastAsia="el-GR"/>
        </w:rPr>
        <w:t xml:space="preserve"> Καθήκοντα ελεγκτών /ελεγκτικών αρχών-αρχών εποπτείας</w:t>
      </w:r>
    </w:p>
    <w:p w14:paraId="7AAEE84F" w14:textId="6C994A23"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Κατά την άσκηση ενεργειών εποπτείας οι ελεγκτές έχουν τα εξής καθήκοντα και περιορίζονται από τις ακόλουθες απαγορεύσεις:</w:t>
      </w:r>
    </w:p>
    <w:p w14:paraId="21C582D3" w14:textId="77777777" w:rsidR="000C10B4" w:rsidRPr="003233E0" w:rsidRDefault="000C10B4" w:rsidP="000C10B4">
      <w:pPr>
        <w:rPr>
          <w:rFonts w:asciiTheme="minorHAnsi" w:hAnsiTheme="minorHAnsi"/>
          <w:b/>
          <w:bCs/>
          <w:color w:val="auto"/>
          <w:spacing w:val="-13"/>
          <w:sz w:val="24"/>
          <w:szCs w:val="24"/>
          <w:lang w:eastAsia="el-GR"/>
        </w:rPr>
      </w:pPr>
      <w:r w:rsidRPr="003233E0">
        <w:rPr>
          <w:rFonts w:asciiTheme="minorHAnsi" w:hAnsiTheme="minorHAnsi"/>
          <w:bCs/>
          <w:color w:val="auto"/>
          <w:spacing w:val="-13"/>
          <w:sz w:val="24"/>
          <w:szCs w:val="24"/>
          <w:lang w:eastAsia="el-GR"/>
        </w:rPr>
        <w:t xml:space="preserve">1. Να ασκούν τις ενέργειες εποπτείας σύμφωνα με τις διαδικασίες και εντός των ορίων που ορίζονται από τον παρόντα νόμο ή και άλλες σχετικές νομοθεσίες, συμπεριλαμβανομένων των προβλέψεων του ν.4488/2017 - ΚΕΦΑΛΑΙΟ Β΄ </w:t>
      </w:r>
      <w:r w:rsidRPr="003233E0">
        <w:rPr>
          <w:rFonts w:asciiTheme="minorHAnsi" w:hAnsiTheme="minorHAnsi"/>
          <w:b/>
          <w:bCs/>
          <w:color w:val="auto"/>
          <w:spacing w:val="-13"/>
          <w:sz w:val="24"/>
          <w:szCs w:val="24"/>
          <w:lang w:eastAsia="el-GR"/>
        </w:rPr>
        <w:t>“ΚΑΤΕΥΘΥΝΤΗΡΙΕΣ ΔΙΑΤΑΞΕΙΣ ΥΛΟΠΟΙΗΣΗΣ ΤΗΣ ΣΥΜΒΑΣΗΣ ΤΩΝ ΗΝΩΜΕΝΩΝ ΕΘΝΩΝ ΓΙΑ ΤΑ ΔΙΚΑΙΩΜΑΤΑ ΤΩΝ ΑΤΟΜΩΝ ΜΕ ΑΝΑΠΗΡΙΕΣ”, μόνο μετά από υπηρεσιακή (έγγραφη ή προφορική) εντολή και ανάθεση διεξαγωγής ελέγχου.</w:t>
      </w:r>
    </w:p>
    <w:p w14:paraId="34159DEA" w14:textId="24E18D9F" w:rsidR="000C10B4" w:rsidRPr="003233E0" w:rsidRDefault="000C10B4" w:rsidP="000C10B4">
      <w:pPr>
        <w:rPr>
          <w:rFonts w:asciiTheme="minorHAnsi" w:hAnsiTheme="minorHAnsi"/>
          <w:bCs/>
          <w:color w:val="auto"/>
          <w:spacing w:val="-13"/>
          <w:sz w:val="24"/>
          <w:szCs w:val="24"/>
          <w:lang w:eastAsia="el-GR"/>
        </w:rPr>
      </w:pPr>
      <w:r w:rsidRPr="003233E0">
        <w:rPr>
          <w:rFonts w:asciiTheme="minorHAnsi" w:hAnsiTheme="minorHAnsi"/>
          <w:bCs/>
          <w:color w:val="auto"/>
          <w:spacing w:val="-13"/>
          <w:sz w:val="24"/>
          <w:szCs w:val="24"/>
          <w:lang w:eastAsia="el-GR"/>
        </w:rPr>
        <w:t>2. [...]</w:t>
      </w:r>
    </w:p>
    <w:p w14:paraId="508FB1C3" w14:textId="77777777" w:rsidR="00E70687" w:rsidRPr="003233E0" w:rsidRDefault="00E70687" w:rsidP="00E70687">
      <w:pPr>
        <w:jc w:val="center"/>
        <w:rPr>
          <w:rFonts w:asciiTheme="minorHAnsi" w:hAnsiTheme="minorHAnsi"/>
          <w:b/>
          <w:sz w:val="24"/>
          <w:szCs w:val="24"/>
        </w:rPr>
      </w:pPr>
      <w:r w:rsidRPr="003233E0">
        <w:rPr>
          <w:rFonts w:asciiTheme="minorHAnsi" w:hAnsiTheme="minorHAnsi"/>
          <w:b/>
          <w:sz w:val="24"/>
          <w:szCs w:val="24"/>
        </w:rPr>
        <w:t>Με εκτίμηση</w:t>
      </w:r>
    </w:p>
    <w:p w14:paraId="33A3764F" w14:textId="77777777" w:rsidR="00E70687" w:rsidRPr="003233E0" w:rsidRDefault="00E70687" w:rsidP="00E70687">
      <w:pPr>
        <w:jc w:val="center"/>
        <w:rPr>
          <w:rFonts w:asciiTheme="minorHAnsi" w:hAnsiTheme="minorHAnsi"/>
          <w:b/>
          <w:sz w:val="24"/>
          <w:szCs w:val="24"/>
        </w:rPr>
        <w:sectPr w:rsidR="00E70687" w:rsidRPr="003233E0" w:rsidSect="00E06108">
          <w:headerReference w:type="default" r:id="rId11"/>
          <w:footerReference w:type="default" r:id="rId12"/>
          <w:type w:val="continuous"/>
          <w:pgSz w:w="11906" w:h="16838"/>
          <w:pgMar w:top="1440" w:right="1133" w:bottom="1440" w:left="1276" w:header="709" w:footer="370" w:gutter="0"/>
          <w:cols w:space="708"/>
          <w:docGrid w:linePitch="360"/>
        </w:sectPr>
      </w:pPr>
    </w:p>
    <w:p w14:paraId="20FE80D4" w14:textId="77777777" w:rsidR="00E70687" w:rsidRPr="003233E0" w:rsidRDefault="00DE01AF" w:rsidP="00E70687">
      <w:pPr>
        <w:jc w:val="center"/>
        <w:rPr>
          <w:rFonts w:asciiTheme="minorHAnsi" w:hAnsiTheme="minorHAnsi"/>
          <w:b/>
          <w:sz w:val="24"/>
          <w:szCs w:val="24"/>
        </w:rPr>
      </w:pPr>
      <w:r w:rsidRPr="003233E0">
        <w:rPr>
          <w:rFonts w:asciiTheme="minorHAnsi" w:hAnsiTheme="minorHAnsi"/>
          <w:b/>
          <w:sz w:val="24"/>
          <w:szCs w:val="24"/>
        </w:rPr>
        <w:t xml:space="preserve">  </w:t>
      </w:r>
      <w:r w:rsidR="00E70687" w:rsidRPr="003233E0">
        <w:rPr>
          <w:rFonts w:asciiTheme="minorHAnsi" w:hAnsiTheme="minorHAnsi"/>
          <w:b/>
          <w:sz w:val="24"/>
          <w:szCs w:val="24"/>
        </w:rPr>
        <w:t xml:space="preserve">Ο </w:t>
      </w:r>
      <w:r w:rsidR="00C0166C" w:rsidRPr="003233E0">
        <w:rPr>
          <w:rFonts w:asciiTheme="minorHAnsi" w:hAnsiTheme="minorHAnsi"/>
          <w:b/>
          <w:sz w:val="24"/>
          <w:szCs w:val="24"/>
        </w:rPr>
        <w:t>Πρόεδρος</w:t>
      </w:r>
    </w:p>
    <w:p w14:paraId="5EA10D78" w14:textId="77777777" w:rsidR="0062257A" w:rsidRPr="003233E0" w:rsidRDefault="0062257A" w:rsidP="00E70687">
      <w:pPr>
        <w:jc w:val="center"/>
        <w:rPr>
          <w:rFonts w:asciiTheme="minorHAnsi" w:hAnsiTheme="minorHAnsi"/>
          <w:b/>
          <w:sz w:val="24"/>
          <w:szCs w:val="24"/>
        </w:rPr>
      </w:pPr>
    </w:p>
    <w:p w14:paraId="638EA73B" w14:textId="77777777" w:rsidR="00E70687" w:rsidRPr="003233E0" w:rsidRDefault="00E70687" w:rsidP="00E70687">
      <w:pPr>
        <w:jc w:val="center"/>
        <w:rPr>
          <w:rFonts w:asciiTheme="minorHAnsi" w:hAnsiTheme="minorHAnsi"/>
          <w:b/>
          <w:sz w:val="24"/>
          <w:szCs w:val="24"/>
        </w:rPr>
      </w:pPr>
      <w:r w:rsidRPr="003233E0">
        <w:rPr>
          <w:rFonts w:asciiTheme="minorHAnsi" w:hAnsiTheme="minorHAnsi"/>
          <w:b/>
          <w:sz w:val="24"/>
          <w:szCs w:val="24"/>
        </w:rPr>
        <w:t xml:space="preserve">Ι. </w:t>
      </w:r>
      <w:r w:rsidR="00C0166C" w:rsidRPr="003233E0">
        <w:rPr>
          <w:rFonts w:asciiTheme="minorHAnsi" w:hAnsiTheme="minorHAnsi"/>
          <w:b/>
          <w:sz w:val="24"/>
          <w:szCs w:val="24"/>
        </w:rPr>
        <w:t>Βαρδακαστάνης</w:t>
      </w:r>
    </w:p>
    <w:p w14:paraId="72B27F30" w14:textId="09A69EF6" w:rsidR="000C10B4" w:rsidRPr="003233E0" w:rsidRDefault="00E70687" w:rsidP="000C10B4">
      <w:pPr>
        <w:jc w:val="center"/>
        <w:rPr>
          <w:rFonts w:asciiTheme="minorHAnsi" w:hAnsiTheme="minorHAnsi"/>
          <w:b/>
          <w:sz w:val="24"/>
          <w:szCs w:val="24"/>
        </w:rPr>
      </w:pPr>
      <w:r w:rsidRPr="003233E0">
        <w:rPr>
          <w:rFonts w:asciiTheme="minorHAnsi" w:hAnsiTheme="minorHAnsi"/>
          <w:b/>
          <w:sz w:val="24"/>
          <w:szCs w:val="24"/>
        </w:rPr>
        <w:br w:type="column"/>
      </w:r>
      <w:r w:rsidRPr="003233E0">
        <w:rPr>
          <w:rFonts w:asciiTheme="minorHAnsi" w:hAnsiTheme="minorHAnsi"/>
          <w:b/>
          <w:sz w:val="24"/>
          <w:szCs w:val="24"/>
        </w:rPr>
        <w:t xml:space="preserve">Ο </w:t>
      </w:r>
      <w:r w:rsidR="00C0166C" w:rsidRPr="003233E0">
        <w:rPr>
          <w:rFonts w:asciiTheme="minorHAnsi" w:hAnsiTheme="minorHAnsi"/>
          <w:b/>
          <w:sz w:val="24"/>
          <w:szCs w:val="24"/>
        </w:rPr>
        <w:t>Γεν</w:t>
      </w:r>
      <w:r w:rsidRPr="003233E0">
        <w:rPr>
          <w:rFonts w:asciiTheme="minorHAnsi" w:hAnsiTheme="minorHAnsi"/>
          <w:b/>
          <w:sz w:val="24"/>
          <w:szCs w:val="24"/>
        </w:rPr>
        <w:t xml:space="preserve">. </w:t>
      </w:r>
      <w:r w:rsidR="00C0166C" w:rsidRPr="003233E0">
        <w:rPr>
          <w:rFonts w:asciiTheme="minorHAnsi" w:hAnsiTheme="minorHAnsi"/>
          <w:b/>
          <w:sz w:val="24"/>
          <w:szCs w:val="24"/>
        </w:rPr>
        <w:t>Γραμματέας</w:t>
      </w:r>
    </w:p>
    <w:p w14:paraId="582CFE09" w14:textId="77777777" w:rsidR="000C10B4" w:rsidRPr="003233E0" w:rsidRDefault="000C10B4" w:rsidP="000C10B4">
      <w:pPr>
        <w:jc w:val="center"/>
        <w:rPr>
          <w:rFonts w:asciiTheme="minorHAnsi" w:hAnsiTheme="minorHAnsi"/>
          <w:b/>
          <w:sz w:val="24"/>
          <w:szCs w:val="24"/>
        </w:rPr>
      </w:pPr>
    </w:p>
    <w:p w14:paraId="04656EE3" w14:textId="08EC7FEF" w:rsidR="00E70687" w:rsidRPr="003233E0" w:rsidRDefault="00DE01AF" w:rsidP="000C10B4">
      <w:pPr>
        <w:jc w:val="center"/>
        <w:rPr>
          <w:rFonts w:asciiTheme="minorHAnsi" w:hAnsiTheme="minorHAnsi"/>
          <w:b/>
          <w:sz w:val="24"/>
          <w:szCs w:val="24"/>
        </w:rPr>
        <w:sectPr w:rsidR="00E70687" w:rsidRPr="003233E0" w:rsidSect="00E70687">
          <w:type w:val="continuous"/>
          <w:pgSz w:w="11906" w:h="16838"/>
          <w:pgMar w:top="1440" w:right="1800" w:bottom="1440" w:left="1800" w:header="709" w:footer="370" w:gutter="0"/>
          <w:cols w:num="2" w:space="708"/>
          <w:docGrid w:linePitch="360"/>
        </w:sectPr>
      </w:pPr>
      <w:r w:rsidRPr="003233E0">
        <w:rPr>
          <w:rFonts w:asciiTheme="minorHAnsi" w:hAnsiTheme="minorHAnsi"/>
          <w:b/>
          <w:sz w:val="24"/>
          <w:szCs w:val="24"/>
        </w:rPr>
        <w:t>Ι. Λυμβαίο</w:t>
      </w:r>
      <w:r w:rsidR="00D558CC" w:rsidRPr="003233E0">
        <w:rPr>
          <w:rFonts w:asciiTheme="minorHAnsi" w:hAnsiTheme="minorHAnsi"/>
          <w:b/>
          <w:sz w:val="24"/>
          <w:szCs w:val="24"/>
        </w:rPr>
        <w:t>ς</w:t>
      </w:r>
    </w:p>
    <w:p w14:paraId="1CB9003B" w14:textId="77777777" w:rsidR="000C10B4" w:rsidRPr="003233E0" w:rsidRDefault="00BB6400" w:rsidP="000C10B4">
      <w:pPr>
        <w:autoSpaceDE w:val="0"/>
        <w:autoSpaceDN w:val="0"/>
        <w:adjustRightInd w:val="0"/>
        <w:spacing w:after="0" w:line="240" w:lineRule="auto"/>
        <w:rPr>
          <w:rFonts w:asciiTheme="minorHAnsi" w:hAnsiTheme="minorHAnsi"/>
          <w:b/>
          <w:sz w:val="24"/>
          <w:szCs w:val="24"/>
        </w:rPr>
      </w:pPr>
      <w:r w:rsidRPr="003233E0">
        <w:rPr>
          <w:rFonts w:asciiTheme="minorHAnsi" w:hAnsiTheme="minorHAnsi"/>
          <w:b/>
          <w:sz w:val="24"/>
          <w:szCs w:val="24"/>
        </w:rPr>
        <w:lastRenderedPageBreak/>
        <w:t xml:space="preserve">Πίνακας Αποδεκτών: </w:t>
      </w:r>
    </w:p>
    <w:p w14:paraId="6F4D0E87" w14:textId="004AA523"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Γραφείο Πρωθυπουργού της χώρας, κ. Αλ. Τσίπρα</w:t>
      </w:r>
    </w:p>
    <w:p w14:paraId="7A333871"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xml:space="preserve">- Γραφείο Υπουργού Επικρατείας, κ. Χρ. </w:t>
      </w:r>
      <w:proofErr w:type="spellStart"/>
      <w:r w:rsidRPr="003233E0">
        <w:rPr>
          <w:rFonts w:asciiTheme="minorHAnsi" w:hAnsiTheme="minorHAnsi" w:cs="Calibri"/>
          <w:color w:val="auto"/>
          <w:sz w:val="24"/>
          <w:szCs w:val="24"/>
        </w:rPr>
        <w:t>Βερναδάκη</w:t>
      </w:r>
      <w:proofErr w:type="spellEnd"/>
    </w:p>
    <w:p w14:paraId="1A093A5E"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Γραφείο Υπουργού Οικονομίας και Ανάπτυξης, κ. Δ. Παπαδημητρίου</w:t>
      </w:r>
    </w:p>
    <w:p w14:paraId="6F10F09A"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xml:space="preserve">- Γραφείο Υφυπουργού Οικονομίας και Ανάπτυξης, κ. Στ. </w:t>
      </w:r>
      <w:proofErr w:type="spellStart"/>
      <w:r w:rsidRPr="003233E0">
        <w:rPr>
          <w:rFonts w:asciiTheme="minorHAnsi" w:hAnsiTheme="minorHAnsi" w:cs="Calibri"/>
          <w:color w:val="auto"/>
          <w:sz w:val="24"/>
          <w:szCs w:val="24"/>
        </w:rPr>
        <w:t>Πιτσιόρλα</w:t>
      </w:r>
      <w:proofErr w:type="spellEnd"/>
    </w:p>
    <w:p w14:paraId="77EB3695"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xml:space="preserve">- Γραφείο Γενικού Γραμματέα Υπουργείου Οικονομίας και Ανάπτυξης, κ. </w:t>
      </w:r>
      <w:proofErr w:type="spellStart"/>
      <w:r w:rsidRPr="003233E0">
        <w:rPr>
          <w:rFonts w:asciiTheme="minorHAnsi" w:hAnsiTheme="minorHAnsi" w:cs="Calibri"/>
          <w:color w:val="auto"/>
          <w:sz w:val="24"/>
          <w:szCs w:val="24"/>
        </w:rPr>
        <w:t>Ηλ</w:t>
      </w:r>
      <w:proofErr w:type="spellEnd"/>
      <w:r w:rsidRPr="003233E0">
        <w:rPr>
          <w:rFonts w:asciiTheme="minorHAnsi" w:hAnsiTheme="minorHAnsi" w:cs="Calibri"/>
          <w:color w:val="auto"/>
          <w:sz w:val="24"/>
          <w:szCs w:val="24"/>
        </w:rPr>
        <w:t>. Ξανθάκο</w:t>
      </w:r>
    </w:p>
    <w:p w14:paraId="1599EF0A"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Γραφείο Γενικού Γραμματέα Εμπορίου και Προστασίας του Καταναλωτή, κ. Αντ.</w:t>
      </w:r>
    </w:p>
    <w:p w14:paraId="4D73FE51" w14:textId="77777777" w:rsidR="000C10B4" w:rsidRPr="003233E0" w:rsidRDefault="000C10B4" w:rsidP="000C10B4">
      <w:pPr>
        <w:autoSpaceDE w:val="0"/>
        <w:autoSpaceDN w:val="0"/>
        <w:adjustRightInd w:val="0"/>
        <w:spacing w:after="0" w:line="240" w:lineRule="auto"/>
        <w:rPr>
          <w:rFonts w:asciiTheme="minorHAnsi" w:hAnsiTheme="minorHAnsi" w:cs="Calibri"/>
          <w:color w:val="auto"/>
          <w:sz w:val="24"/>
          <w:szCs w:val="24"/>
        </w:rPr>
      </w:pPr>
      <w:r w:rsidRPr="003233E0">
        <w:rPr>
          <w:rFonts w:asciiTheme="minorHAnsi" w:hAnsiTheme="minorHAnsi" w:cs="Calibri"/>
          <w:color w:val="auto"/>
          <w:sz w:val="24"/>
          <w:szCs w:val="24"/>
        </w:rPr>
        <w:t xml:space="preserve"> Παπαδεράκη</w:t>
      </w:r>
    </w:p>
    <w:p w14:paraId="75F03F4A" w14:textId="77777777" w:rsidR="000C10B4" w:rsidRPr="003233E0" w:rsidRDefault="000C10B4" w:rsidP="000C10B4">
      <w:pPr>
        <w:autoSpaceDE w:val="0"/>
        <w:autoSpaceDN w:val="0"/>
        <w:adjustRightInd w:val="0"/>
        <w:spacing w:after="0" w:line="240" w:lineRule="auto"/>
        <w:rPr>
          <w:rFonts w:asciiTheme="minorHAnsi" w:hAnsiTheme="minorHAnsi" w:cs="Calibri"/>
          <w:sz w:val="24"/>
          <w:szCs w:val="24"/>
        </w:rPr>
      </w:pPr>
      <w:r w:rsidRPr="003233E0">
        <w:rPr>
          <w:rFonts w:asciiTheme="minorHAnsi" w:hAnsiTheme="minorHAnsi" w:cs="Calibri"/>
          <w:color w:val="auto"/>
          <w:sz w:val="24"/>
          <w:szCs w:val="24"/>
        </w:rPr>
        <w:t xml:space="preserve">- Φορείς - Μέλη Ε.Σ.Α.μεΑ. </w:t>
      </w:r>
    </w:p>
    <w:p w14:paraId="559EFA57" w14:textId="77777777" w:rsidR="00BB6400" w:rsidRPr="003233E0" w:rsidRDefault="00BB6400" w:rsidP="00BB6400">
      <w:pPr>
        <w:spacing w:line="240" w:lineRule="auto"/>
        <w:rPr>
          <w:rFonts w:asciiTheme="minorHAnsi" w:hAnsiTheme="minorHAnsi"/>
          <w:b/>
          <w:sz w:val="24"/>
          <w:szCs w:val="24"/>
        </w:rPr>
      </w:pPr>
    </w:p>
    <w:sectPr w:rsidR="00BB6400" w:rsidRPr="003233E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D6AD" w14:textId="77777777" w:rsidR="00BB1DB2" w:rsidRDefault="00BB1DB2" w:rsidP="00A5663B">
      <w:pPr>
        <w:spacing w:after="0" w:line="240" w:lineRule="auto"/>
      </w:pPr>
      <w:r>
        <w:separator/>
      </w:r>
    </w:p>
  </w:endnote>
  <w:endnote w:type="continuationSeparator" w:id="0">
    <w:p w14:paraId="3978BCD5" w14:textId="77777777" w:rsidR="00BB1DB2" w:rsidRDefault="00BB1DB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ED80" w14:textId="77777777" w:rsidR="00811A9B" w:rsidRDefault="00C0166C" w:rsidP="00811A9B">
    <w:pPr>
      <w:pStyle w:val="a5"/>
      <w:tabs>
        <w:tab w:val="clear" w:pos="8306"/>
        <w:tab w:val="right" w:pos="10065"/>
      </w:tabs>
      <w:ind w:left="-1800" w:right="-1759"/>
    </w:pPr>
    <w:r>
      <w:rPr>
        <w:noProof/>
        <w:lang w:eastAsia="el-GR"/>
      </w:rPr>
      <w:drawing>
        <wp:inline distT="0" distB="0" distL="0" distR="0" wp14:anchorId="73138C4C" wp14:editId="4FFA3180">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05FC" w14:textId="77777777" w:rsidR="00E70687" w:rsidRDefault="00C0166C" w:rsidP="00811A9B">
    <w:pPr>
      <w:pStyle w:val="a5"/>
      <w:tabs>
        <w:tab w:val="clear" w:pos="8306"/>
        <w:tab w:val="right" w:pos="10065"/>
      </w:tabs>
      <w:ind w:left="-1800" w:right="-1759"/>
    </w:pPr>
    <w:r>
      <w:rPr>
        <w:noProof/>
        <w:lang w:eastAsia="el-GR"/>
      </w:rPr>
      <w:drawing>
        <wp:inline distT="0" distB="0" distL="0" distR="0" wp14:anchorId="4C49D8EF" wp14:editId="48143612">
          <wp:extent cx="7557611" cy="815340"/>
          <wp:effectExtent l="0" t="0" r="5715" b="0"/>
          <wp:docPr id="21" name="Εικόνα 2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8F79" w14:textId="77777777" w:rsidR="00BB1DB2" w:rsidRDefault="00BB1DB2" w:rsidP="00A5663B">
      <w:pPr>
        <w:spacing w:after="0" w:line="240" w:lineRule="auto"/>
      </w:pPr>
      <w:r>
        <w:separator/>
      </w:r>
    </w:p>
  </w:footnote>
  <w:footnote w:type="continuationSeparator" w:id="0">
    <w:p w14:paraId="3B709045" w14:textId="77777777" w:rsidR="00BB1DB2" w:rsidRDefault="00BB1DB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410D" w14:textId="77777777" w:rsidR="00A5663B" w:rsidRPr="00A5663B" w:rsidRDefault="0026597B" w:rsidP="00A5663B">
    <w:pPr>
      <w:pStyle w:val="a4"/>
      <w:ind w:left="-1800"/>
      <w:rPr>
        <w:lang w:val="en-US"/>
      </w:rPr>
    </w:pPr>
    <w:r>
      <w:rPr>
        <w:noProof/>
        <w:lang w:eastAsia="el-GR"/>
      </w:rPr>
      <w:drawing>
        <wp:inline distT="0" distB="0" distL="0" distR="0" wp14:anchorId="245151E5" wp14:editId="5EBF7C61">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39A5" w14:textId="77777777"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E506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7663"/>
    <w:multiLevelType w:val="multilevel"/>
    <w:tmpl w:val="87205A26"/>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F06E3A"/>
    <w:multiLevelType w:val="multilevel"/>
    <w:tmpl w:val="08E20B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C24723"/>
    <w:multiLevelType w:val="multilevel"/>
    <w:tmpl w:val="4FD86D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8250FD6"/>
    <w:multiLevelType w:val="multilevel"/>
    <w:tmpl w:val="52560B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6D19D6"/>
    <w:multiLevelType w:val="multilevel"/>
    <w:tmpl w:val="C1FC72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272EB0"/>
    <w:multiLevelType w:val="multilevel"/>
    <w:tmpl w:val="BBB210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1C658B3"/>
    <w:multiLevelType w:val="multilevel"/>
    <w:tmpl w:val="2AFEDE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076BCB"/>
    <w:multiLevelType w:val="hybridMultilevel"/>
    <w:tmpl w:val="22BC0D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15:restartNumberingAfterBreak="0">
    <w:nsid w:val="67BE2CB0"/>
    <w:multiLevelType w:val="multilevel"/>
    <w:tmpl w:val="3FBA11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2937AD"/>
    <w:multiLevelType w:val="multilevel"/>
    <w:tmpl w:val="BB6A8682"/>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3"/>
  </w:num>
  <w:num w:numId="13">
    <w:abstractNumId w:val="1"/>
  </w:num>
  <w:num w:numId="14">
    <w:abstractNumId w:val="8"/>
  </w:num>
  <w:num w:numId="15">
    <w:abstractNumId w:val="5"/>
  </w:num>
  <w:num w:numId="16">
    <w:abstractNumId w:val="6"/>
  </w:num>
  <w:num w:numId="17">
    <w:abstractNumId w:val="4"/>
  </w:num>
  <w:num w:numId="18">
    <w:abstractNumId w:val="0"/>
  </w:num>
  <w:num w:numId="19">
    <w:abstractNumId w:val="7"/>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2C52"/>
    <w:rsid w:val="00041D12"/>
    <w:rsid w:val="00064C2D"/>
    <w:rsid w:val="000C10B4"/>
    <w:rsid w:val="000C602B"/>
    <w:rsid w:val="000F5199"/>
    <w:rsid w:val="00134A47"/>
    <w:rsid w:val="001B3428"/>
    <w:rsid w:val="001C184A"/>
    <w:rsid w:val="00257B66"/>
    <w:rsid w:val="00262F17"/>
    <w:rsid w:val="0026597B"/>
    <w:rsid w:val="002D1046"/>
    <w:rsid w:val="003233E0"/>
    <w:rsid w:val="00404202"/>
    <w:rsid w:val="004074BE"/>
    <w:rsid w:val="00412BB7"/>
    <w:rsid w:val="004634BF"/>
    <w:rsid w:val="00476172"/>
    <w:rsid w:val="004C0AB2"/>
    <w:rsid w:val="004E506B"/>
    <w:rsid w:val="00564F03"/>
    <w:rsid w:val="005666C3"/>
    <w:rsid w:val="005933BE"/>
    <w:rsid w:val="00597F96"/>
    <w:rsid w:val="005B7AF7"/>
    <w:rsid w:val="005C7CF8"/>
    <w:rsid w:val="005D0731"/>
    <w:rsid w:val="005D77BC"/>
    <w:rsid w:val="0062257A"/>
    <w:rsid w:val="00651CD5"/>
    <w:rsid w:val="00656929"/>
    <w:rsid w:val="006746CF"/>
    <w:rsid w:val="006F050F"/>
    <w:rsid w:val="00726F03"/>
    <w:rsid w:val="00733051"/>
    <w:rsid w:val="007613A0"/>
    <w:rsid w:val="0077016C"/>
    <w:rsid w:val="00786D49"/>
    <w:rsid w:val="007A7C66"/>
    <w:rsid w:val="007E1C1C"/>
    <w:rsid w:val="007F259D"/>
    <w:rsid w:val="0080092C"/>
    <w:rsid w:val="00811A9B"/>
    <w:rsid w:val="00882B48"/>
    <w:rsid w:val="008A732E"/>
    <w:rsid w:val="008D193B"/>
    <w:rsid w:val="008F4A49"/>
    <w:rsid w:val="00904717"/>
    <w:rsid w:val="009478C6"/>
    <w:rsid w:val="0095656A"/>
    <w:rsid w:val="0096374D"/>
    <w:rsid w:val="009802F4"/>
    <w:rsid w:val="009B3183"/>
    <w:rsid w:val="009B63A8"/>
    <w:rsid w:val="009C639C"/>
    <w:rsid w:val="009E207E"/>
    <w:rsid w:val="009E2198"/>
    <w:rsid w:val="00A43C9D"/>
    <w:rsid w:val="00A5663B"/>
    <w:rsid w:val="00A672F8"/>
    <w:rsid w:val="00A67E27"/>
    <w:rsid w:val="00A76D77"/>
    <w:rsid w:val="00AA527F"/>
    <w:rsid w:val="00B01AB1"/>
    <w:rsid w:val="00B330B3"/>
    <w:rsid w:val="00B408A2"/>
    <w:rsid w:val="00B4262A"/>
    <w:rsid w:val="00B73047"/>
    <w:rsid w:val="00BB1DB2"/>
    <w:rsid w:val="00BB6400"/>
    <w:rsid w:val="00BC1949"/>
    <w:rsid w:val="00C0166C"/>
    <w:rsid w:val="00C02E95"/>
    <w:rsid w:val="00C05CE4"/>
    <w:rsid w:val="00C176DC"/>
    <w:rsid w:val="00C338B1"/>
    <w:rsid w:val="00C34789"/>
    <w:rsid w:val="00C35A1A"/>
    <w:rsid w:val="00C44ABF"/>
    <w:rsid w:val="00C57015"/>
    <w:rsid w:val="00C8235E"/>
    <w:rsid w:val="00C93BCF"/>
    <w:rsid w:val="00C9552B"/>
    <w:rsid w:val="00CA12A3"/>
    <w:rsid w:val="00CE796B"/>
    <w:rsid w:val="00D07491"/>
    <w:rsid w:val="00D11B9D"/>
    <w:rsid w:val="00D32CFA"/>
    <w:rsid w:val="00D416FD"/>
    <w:rsid w:val="00D529A0"/>
    <w:rsid w:val="00D558CC"/>
    <w:rsid w:val="00D673A1"/>
    <w:rsid w:val="00DA1FBF"/>
    <w:rsid w:val="00DC23D9"/>
    <w:rsid w:val="00DD36B3"/>
    <w:rsid w:val="00DE01AF"/>
    <w:rsid w:val="00E06108"/>
    <w:rsid w:val="00E26695"/>
    <w:rsid w:val="00E3150D"/>
    <w:rsid w:val="00E40B45"/>
    <w:rsid w:val="00E70687"/>
    <w:rsid w:val="00EA2E43"/>
    <w:rsid w:val="00EE6171"/>
    <w:rsid w:val="00F2098D"/>
    <w:rsid w:val="00F21B29"/>
    <w:rsid w:val="00F71FF7"/>
    <w:rsid w:val="00F81D1D"/>
    <w:rsid w:val="00FC080A"/>
    <w:rsid w:val="00FD2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9528"/>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A76D77"/>
    <w:rPr>
      <w:color w:val="0000FF" w:themeColor="hyperlink"/>
      <w:u w:val="single"/>
    </w:rPr>
  </w:style>
  <w:style w:type="paragraph" w:styleId="a9">
    <w:name w:val="annotation text"/>
    <w:basedOn w:val="a"/>
    <w:link w:val="Char3"/>
    <w:uiPriority w:val="99"/>
    <w:semiHidden/>
    <w:unhideWhenUsed/>
    <w:rsid w:val="009C639C"/>
    <w:pPr>
      <w:spacing w:line="240" w:lineRule="auto"/>
      <w:jc w:val="left"/>
    </w:pPr>
    <w:rPr>
      <w:rFonts w:ascii="Calibri" w:hAnsi="Calibri"/>
      <w:color w:val="auto"/>
      <w:sz w:val="20"/>
      <w:szCs w:val="20"/>
      <w:lang w:eastAsia="el-GR"/>
    </w:rPr>
  </w:style>
  <w:style w:type="character" w:customStyle="1" w:styleId="Char3">
    <w:name w:val="Κείμενο σχολίου Char"/>
    <w:basedOn w:val="a0"/>
    <w:link w:val="a9"/>
    <w:uiPriority w:val="99"/>
    <w:semiHidden/>
    <w:rsid w:val="009C639C"/>
    <w:rPr>
      <w:rFonts w:ascii="Calibri" w:hAnsi="Calibri"/>
      <w:lang w:eastAsia="el-GR"/>
    </w:rPr>
  </w:style>
  <w:style w:type="character" w:styleId="aa">
    <w:name w:val="annotation reference"/>
    <w:basedOn w:val="a0"/>
    <w:uiPriority w:val="99"/>
    <w:semiHidden/>
    <w:unhideWhenUsed/>
    <w:rsid w:val="009C63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71691">
      <w:bodyDiv w:val="1"/>
      <w:marLeft w:val="0"/>
      <w:marRight w:val="0"/>
      <w:marTop w:val="0"/>
      <w:marBottom w:val="0"/>
      <w:divBdr>
        <w:top w:val="none" w:sz="0" w:space="0" w:color="auto"/>
        <w:left w:val="none" w:sz="0" w:space="0" w:color="auto"/>
        <w:bottom w:val="none" w:sz="0" w:space="0" w:color="auto"/>
        <w:right w:val="none" w:sz="0" w:space="0" w:color="auto"/>
      </w:divBdr>
    </w:div>
    <w:div w:id="16104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46B793-E930-4BA2-A3C1-32EFC3A1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1594</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2017-11-10T10:49:00Z</cp:lastPrinted>
  <dcterms:created xsi:type="dcterms:W3CDTF">2017-11-13T10:14:00Z</dcterms:created>
  <dcterms:modified xsi:type="dcterms:W3CDTF">2017-11-13T12:10:00Z</dcterms:modified>
</cp:coreProperties>
</file>