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7E" w:rsidRDefault="00DB3C7E">
      <w:pPr>
        <w:rPr>
          <w:b/>
        </w:rPr>
      </w:pPr>
    </w:p>
    <w:p w:rsidR="00A5663B" w:rsidRPr="00FB4284" w:rsidRDefault="00B816B7">
      <w:pPr>
        <w:rPr>
          <w:sz w:val="20"/>
          <w:szCs w:val="20"/>
        </w:rPr>
      </w:pPr>
      <w:r w:rsidRPr="00FB4284">
        <w:rPr>
          <w:sz w:val="20"/>
          <w:szCs w:val="20"/>
        </w:rPr>
        <w:t xml:space="preserve">Πληροφορίες: </w:t>
      </w:r>
      <w:r w:rsidR="00862DE6" w:rsidRPr="00FB4284">
        <w:rPr>
          <w:sz w:val="20"/>
          <w:szCs w:val="20"/>
        </w:rPr>
        <w:t xml:space="preserve">Δημήτρης Λογαράς </w:t>
      </w:r>
    </w:p>
    <w:p w:rsidR="00A5663B" w:rsidRPr="00A5663B" w:rsidRDefault="007A25CC" w:rsidP="00A5663B">
      <w:pPr>
        <w:spacing w:before="480"/>
        <w:jc w:val="right"/>
        <w:rPr>
          <w:b/>
        </w:rPr>
      </w:pPr>
      <w:r>
        <w:rPr>
          <w:b/>
        </w:rPr>
        <w:br w:type="column"/>
      </w:r>
      <w:r>
        <w:rPr>
          <w:b/>
        </w:rPr>
        <w:t xml:space="preserve">Αθήνα: </w:t>
      </w:r>
      <w:r w:rsidR="007317FA">
        <w:rPr>
          <w:b/>
          <w:color w:val="auto"/>
        </w:rPr>
        <w:t xml:space="preserve">15.12.2016 </w:t>
      </w:r>
    </w:p>
    <w:p w:rsidR="00A5663B" w:rsidRPr="00A5663B" w:rsidRDefault="004979A9" w:rsidP="00F74F23">
      <w:pPr>
        <w:jc w:val="right"/>
        <w:rPr>
          <w:b/>
        </w:rPr>
        <w:sectPr w:rsidR="00A5663B" w:rsidRPr="00A5663B" w:rsidSect="00A5663B">
          <w:headerReference w:type="default" r:id="rId8"/>
          <w:footerReference w:type="default" r:id="rId9"/>
          <w:pgSz w:w="11906" w:h="16838"/>
          <w:pgMar w:top="1440" w:right="1800" w:bottom="1440" w:left="1800" w:header="709" w:footer="709" w:gutter="0"/>
          <w:cols w:num="2" w:space="708"/>
          <w:docGrid w:linePitch="360"/>
        </w:sectPr>
      </w:pPr>
      <w:r>
        <w:rPr>
          <w:b/>
        </w:rPr>
        <w:t>Αρ. Πρωτ.: 1892</w:t>
      </w:r>
    </w:p>
    <w:p w:rsidR="00FC790D" w:rsidRPr="00A227D8" w:rsidRDefault="009E4AE9" w:rsidP="004979A9">
      <w:pPr>
        <w:pStyle w:val="a7"/>
        <w:pBdr>
          <w:bottom w:val="single" w:sz="8" w:space="3" w:color="4F81BD" w:themeColor="accent1"/>
        </w:pBdr>
        <w:spacing w:before="360" w:after="240"/>
        <w:jc w:val="left"/>
        <w:rPr>
          <w:b/>
          <w:color w:val="auto"/>
          <w:sz w:val="22"/>
          <w:szCs w:val="22"/>
        </w:rPr>
      </w:pPr>
      <w:r>
        <w:rPr>
          <w:b/>
          <w:color w:val="auto"/>
          <w:sz w:val="22"/>
          <w:szCs w:val="22"/>
        </w:rPr>
        <w:t>ΠΡΟΣ</w:t>
      </w:r>
      <w:r w:rsidR="00F052AB" w:rsidRPr="00921D0F">
        <w:rPr>
          <w:b/>
          <w:color w:val="auto"/>
          <w:sz w:val="22"/>
          <w:szCs w:val="22"/>
        </w:rPr>
        <w:t>:</w:t>
      </w:r>
      <w:r w:rsidR="00604981">
        <w:rPr>
          <w:b/>
          <w:color w:val="auto"/>
          <w:sz w:val="22"/>
          <w:szCs w:val="22"/>
        </w:rPr>
        <w:t xml:space="preserve"> - </w:t>
      </w:r>
      <w:r w:rsidR="00A227D8">
        <w:rPr>
          <w:b/>
          <w:color w:val="auto"/>
          <w:sz w:val="22"/>
          <w:szCs w:val="22"/>
        </w:rPr>
        <w:t xml:space="preserve">Πρόεδρο και Μέλη Διαρκούς Επιτροπής </w:t>
      </w:r>
      <w:r w:rsidR="00A227D8" w:rsidRPr="00A227D8">
        <w:rPr>
          <w:b/>
          <w:color w:val="auto"/>
          <w:sz w:val="22"/>
          <w:szCs w:val="22"/>
        </w:rPr>
        <w:t>Παραγωγής και Εμπορίου</w:t>
      </w:r>
      <w:r w:rsidR="00A227D8">
        <w:rPr>
          <w:b/>
          <w:color w:val="auto"/>
          <w:sz w:val="22"/>
          <w:szCs w:val="22"/>
        </w:rPr>
        <w:t xml:space="preserve"> της Βουλής των Ελλήνων</w:t>
      </w:r>
    </w:p>
    <w:p w:rsidR="005979CC" w:rsidRDefault="005979CC" w:rsidP="00F54BDD">
      <w:pPr>
        <w:pStyle w:val="a7"/>
        <w:pBdr>
          <w:bottom w:val="single" w:sz="8" w:space="3" w:color="4F81BD" w:themeColor="accent1"/>
        </w:pBdr>
        <w:spacing w:before="360" w:after="240"/>
        <w:rPr>
          <w:b/>
          <w:color w:val="auto"/>
          <w:sz w:val="22"/>
          <w:szCs w:val="22"/>
        </w:rPr>
      </w:pPr>
    </w:p>
    <w:p w:rsidR="00247851" w:rsidRDefault="00247851" w:rsidP="00155FC9">
      <w:pPr>
        <w:pStyle w:val="a7"/>
        <w:pBdr>
          <w:bottom w:val="single" w:sz="8" w:space="3" w:color="4F81BD" w:themeColor="accent1"/>
        </w:pBdr>
        <w:spacing w:before="360" w:after="240"/>
        <w:rPr>
          <w:b/>
          <w:color w:val="auto"/>
          <w:sz w:val="22"/>
          <w:szCs w:val="22"/>
        </w:rPr>
      </w:pPr>
    </w:p>
    <w:p w:rsidR="00155FC9" w:rsidRPr="00CD6E8B" w:rsidRDefault="00F052AB" w:rsidP="00155FC9">
      <w:pPr>
        <w:pStyle w:val="a7"/>
        <w:pBdr>
          <w:bottom w:val="single" w:sz="8" w:space="3" w:color="4F81BD" w:themeColor="accent1"/>
        </w:pBdr>
        <w:spacing w:before="360" w:after="240"/>
        <w:rPr>
          <w:b/>
          <w:i/>
          <w:color w:val="auto"/>
          <w:sz w:val="22"/>
          <w:szCs w:val="22"/>
        </w:rPr>
      </w:pPr>
      <w:r w:rsidRPr="000C133C">
        <w:rPr>
          <w:b/>
          <w:color w:val="auto"/>
          <w:sz w:val="22"/>
          <w:szCs w:val="22"/>
        </w:rPr>
        <w:t>ΘΕΜΑ:</w:t>
      </w:r>
      <w:r w:rsidR="00A227D8">
        <w:rPr>
          <w:b/>
          <w:color w:val="auto"/>
          <w:sz w:val="22"/>
          <w:szCs w:val="22"/>
        </w:rPr>
        <w:t xml:space="preserve"> </w:t>
      </w:r>
      <w:r w:rsidR="007317FA">
        <w:rPr>
          <w:b/>
          <w:color w:val="auto"/>
          <w:sz w:val="22"/>
          <w:szCs w:val="22"/>
        </w:rPr>
        <w:t xml:space="preserve">Σχέδιο Νόμου </w:t>
      </w:r>
      <w:r w:rsidR="00FC790D">
        <w:rPr>
          <w:b/>
          <w:color w:val="auto"/>
          <w:sz w:val="22"/>
          <w:szCs w:val="22"/>
        </w:rPr>
        <w:t>‘</w:t>
      </w:r>
      <w:r w:rsidR="00FC790D" w:rsidRPr="00171D13">
        <w:rPr>
          <w:b/>
          <w:i/>
          <w:color w:val="auto"/>
          <w:sz w:val="22"/>
          <w:szCs w:val="22"/>
        </w:rPr>
        <w:t>Χωρικός</w:t>
      </w:r>
      <w:r w:rsidR="00A227D8" w:rsidRPr="00171D13">
        <w:rPr>
          <w:b/>
          <w:i/>
          <w:color w:val="auto"/>
          <w:sz w:val="22"/>
          <w:szCs w:val="22"/>
        </w:rPr>
        <w:t xml:space="preserve"> Σχεδιασμός -Βιώσιμη Ανάπτυξη’</w:t>
      </w:r>
      <w:r w:rsidR="00A227D8">
        <w:rPr>
          <w:b/>
          <w:color w:val="auto"/>
          <w:sz w:val="22"/>
          <w:szCs w:val="22"/>
        </w:rPr>
        <w:t xml:space="preserve">: αιτήματα της Ε.Σ.Α.μεΑ. </w:t>
      </w:r>
    </w:p>
    <w:p w:rsidR="00F052AB" w:rsidRPr="00EB1C6F" w:rsidRDefault="00F052AB" w:rsidP="00EB1C6F">
      <w:pPr>
        <w:pStyle w:val="a7"/>
        <w:pBdr>
          <w:bottom w:val="single" w:sz="8" w:space="3" w:color="4F81BD" w:themeColor="accent1"/>
        </w:pBdr>
        <w:spacing w:before="360" w:after="240"/>
        <w:rPr>
          <w:rFonts w:eastAsia="Cambria" w:cs="Cambria"/>
          <w:b/>
          <w:color w:val="auto"/>
          <w:sz w:val="22"/>
          <w:szCs w:val="22"/>
        </w:rPr>
      </w:pPr>
    </w:p>
    <w:p w:rsidR="00A227D8" w:rsidRDefault="000F6341" w:rsidP="00B2683A">
      <w:pPr>
        <w:spacing w:after="0"/>
        <w:rPr>
          <w:rFonts w:ascii="Calibri" w:hAnsi="Calibri"/>
          <w:bCs/>
          <w:lang w:eastAsia="el-GR"/>
        </w:rPr>
      </w:pPr>
      <w:r w:rsidRPr="000F6341">
        <w:rPr>
          <w:b/>
          <w:bCs/>
          <w:iCs/>
        </w:rPr>
        <w:t>ΚΟΙΝ:</w:t>
      </w:r>
      <w:r w:rsidRPr="000F6341">
        <w:rPr>
          <w:rFonts w:ascii="Calibri" w:hAnsi="Calibri"/>
          <w:b/>
          <w:bCs/>
          <w:lang w:eastAsia="el-GR"/>
        </w:rPr>
        <w:t xml:space="preserve"> </w:t>
      </w:r>
      <w:r w:rsidR="00453AC5">
        <w:rPr>
          <w:rFonts w:ascii="Calibri" w:hAnsi="Calibri"/>
          <w:b/>
          <w:bCs/>
          <w:lang w:eastAsia="el-GR"/>
        </w:rPr>
        <w:tab/>
      </w:r>
      <w:r w:rsidR="00604981" w:rsidRPr="00604981">
        <w:rPr>
          <w:rFonts w:ascii="Calibri" w:hAnsi="Calibri"/>
          <w:bCs/>
          <w:lang w:eastAsia="el-GR"/>
        </w:rPr>
        <w:t>-</w:t>
      </w:r>
      <w:r w:rsidR="00A227D8">
        <w:rPr>
          <w:rFonts w:ascii="Calibri" w:hAnsi="Calibri"/>
          <w:bCs/>
          <w:lang w:eastAsia="el-GR"/>
        </w:rPr>
        <w:t xml:space="preserve"> κ. Γ. Σταθάκη, Υπουργό Περιβάλλοντος &amp; Ενέργειας </w:t>
      </w:r>
    </w:p>
    <w:p w:rsidR="00453AC5" w:rsidRDefault="00453AC5" w:rsidP="00A227D8">
      <w:pPr>
        <w:pStyle w:val="a8"/>
        <w:numPr>
          <w:ilvl w:val="0"/>
          <w:numId w:val="46"/>
        </w:numPr>
        <w:spacing w:after="0"/>
        <w:ind w:left="851" w:hanging="142"/>
        <w:rPr>
          <w:rFonts w:ascii="Calibri" w:hAnsi="Calibri"/>
          <w:bCs/>
          <w:lang w:eastAsia="el-GR"/>
        </w:rPr>
      </w:pPr>
      <w:r w:rsidRPr="00A227D8">
        <w:rPr>
          <w:rFonts w:ascii="Calibri" w:hAnsi="Calibri"/>
          <w:bCs/>
          <w:lang w:eastAsia="el-GR"/>
        </w:rPr>
        <w:t xml:space="preserve">κ. </w:t>
      </w:r>
      <w:r w:rsidR="00FC790D" w:rsidRPr="00A227D8">
        <w:rPr>
          <w:rFonts w:ascii="Calibri" w:hAnsi="Calibri"/>
          <w:bCs/>
          <w:lang w:eastAsia="el-GR"/>
        </w:rPr>
        <w:t xml:space="preserve">Σ. Φάμελλο, Αναπληρωτή Υπουργό Περιβάλλοντας &amp; Ενέργειας </w:t>
      </w:r>
    </w:p>
    <w:p w:rsidR="00A227D8" w:rsidRDefault="00A227D8" w:rsidP="00A227D8">
      <w:pPr>
        <w:pStyle w:val="a8"/>
        <w:numPr>
          <w:ilvl w:val="0"/>
          <w:numId w:val="46"/>
        </w:numPr>
        <w:spacing w:after="0"/>
        <w:ind w:left="851" w:hanging="142"/>
        <w:rPr>
          <w:rFonts w:ascii="Calibri" w:hAnsi="Calibri"/>
          <w:bCs/>
          <w:lang w:eastAsia="el-GR"/>
        </w:rPr>
      </w:pPr>
      <w:r>
        <w:rPr>
          <w:rFonts w:ascii="Calibri" w:hAnsi="Calibri"/>
          <w:bCs/>
          <w:lang w:eastAsia="el-GR"/>
        </w:rPr>
        <w:t xml:space="preserve">κα Χ. Μπαριτάκη, Γενική Γραμματέα Περιβάλλοντος &amp; Ενέργειας </w:t>
      </w:r>
    </w:p>
    <w:p w:rsidR="00A227D8" w:rsidRDefault="00A227D8" w:rsidP="00A227D8">
      <w:pPr>
        <w:pStyle w:val="a8"/>
        <w:numPr>
          <w:ilvl w:val="0"/>
          <w:numId w:val="46"/>
        </w:numPr>
        <w:spacing w:after="0"/>
        <w:ind w:left="851" w:hanging="142"/>
        <w:rPr>
          <w:rFonts w:ascii="Calibri" w:hAnsi="Calibri"/>
          <w:bCs/>
          <w:lang w:eastAsia="el-GR"/>
        </w:rPr>
      </w:pPr>
      <w:r>
        <w:rPr>
          <w:rFonts w:ascii="Calibri" w:hAnsi="Calibri"/>
          <w:bCs/>
          <w:lang w:eastAsia="el-GR"/>
        </w:rPr>
        <w:t xml:space="preserve">κα Ειρ. Κλαμπατσέα, Γενική Γραμματέα </w:t>
      </w:r>
      <w:r w:rsidR="007317FA">
        <w:rPr>
          <w:rFonts w:ascii="Calibri" w:hAnsi="Calibri"/>
          <w:bCs/>
          <w:lang w:eastAsia="el-GR"/>
        </w:rPr>
        <w:t xml:space="preserve">Χωρικού </w:t>
      </w:r>
      <w:r>
        <w:rPr>
          <w:rFonts w:ascii="Calibri" w:hAnsi="Calibri"/>
          <w:bCs/>
          <w:lang w:eastAsia="el-GR"/>
        </w:rPr>
        <w:t xml:space="preserve">Σχεδιασμού &amp; Αστικού Περιβάλλοντος </w:t>
      </w:r>
    </w:p>
    <w:p w:rsidR="007317FA" w:rsidRPr="00A227D8" w:rsidRDefault="007317FA" w:rsidP="00A227D8">
      <w:pPr>
        <w:pStyle w:val="a8"/>
        <w:numPr>
          <w:ilvl w:val="0"/>
          <w:numId w:val="46"/>
        </w:numPr>
        <w:spacing w:after="0"/>
        <w:ind w:left="851" w:hanging="142"/>
        <w:rPr>
          <w:rFonts w:ascii="Calibri" w:hAnsi="Calibri"/>
          <w:bCs/>
          <w:lang w:eastAsia="el-GR"/>
        </w:rPr>
      </w:pPr>
      <w:r>
        <w:rPr>
          <w:rFonts w:ascii="Calibri" w:hAnsi="Calibri"/>
          <w:bCs/>
          <w:lang w:eastAsia="el-GR"/>
        </w:rPr>
        <w:t xml:space="preserve">κ. Χρ. Βερναρδάκη, Υπουργό Επικρατείας </w:t>
      </w:r>
    </w:p>
    <w:p w:rsidR="00255ABA" w:rsidRDefault="00255ABA" w:rsidP="002E22AF">
      <w:pPr>
        <w:tabs>
          <w:tab w:val="left" w:pos="0"/>
        </w:tabs>
      </w:pPr>
    </w:p>
    <w:p w:rsidR="00B2683A" w:rsidRDefault="00B2683A" w:rsidP="002E22AF">
      <w:pPr>
        <w:tabs>
          <w:tab w:val="left" w:pos="0"/>
        </w:tabs>
        <w:rPr>
          <w:b/>
          <w:i/>
        </w:rPr>
      </w:pPr>
      <w:r>
        <w:rPr>
          <w:b/>
          <w:i/>
        </w:rPr>
        <w:t>Αξιότιμε</w:t>
      </w:r>
      <w:r w:rsidR="00A227D8">
        <w:rPr>
          <w:b/>
          <w:i/>
        </w:rPr>
        <w:t xml:space="preserve"> κύριε Πρόεδρε</w:t>
      </w:r>
      <w:r>
        <w:rPr>
          <w:b/>
          <w:i/>
        </w:rPr>
        <w:t xml:space="preserve">, </w:t>
      </w:r>
    </w:p>
    <w:p w:rsidR="00A227D8" w:rsidRDefault="00A227D8" w:rsidP="002E22AF">
      <w:pPr>
        <w:tabs>
          <w:tab w:val="left" w:pos="0"/>
        </w:tabs>
        <w:rPr>
          <w:b/>
          <w:i/>
        </w:rPr>
      </w:pPr>
      <w:r>
        <w:rPr>
          <w:b/>
          <w:i/>
        </w:rPr>
        <w:t xml:space="preserve">Αξιότιμα Μέλη, </w:t>
      </w:r>
    </w:p>
    <w:p w:rsidR="00B32F38" w:rsidRPr="00B32F38" w:rsidRDefault="00B32F38" w:rsidP="00B32F38">
      <w:pPr>
        <w:tabs>
          <w:tab w:val="left" w:pos="0"/>
        </w:tabs>
      </w:pPr>
      <w:r w:rsidRPr="00B32F38">
        <w:t>Η Εθνική Συνομοσπονδία Ατόμων με Αναπηρία (Ε.Σ.Α.μεΑ.), όπως άλλωστε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B32F38">
        <w:rPr>
          <w:bCs/>
        </w:rPr>
        <w:t>.2430/96 (ΦΕΚ 156Α/10.7.96)</w:t>
      </w:r>
      <w:r w:rsidRPr="00B32F38">
        <w:t xml:space="preserve"> Κοινωνικό Εταίρο της ελληνικής Πολιτείας σε ζητήματα αναπηρίας και ιδρυτικό μέλος του Ευρωπαϊκού Φόρουμ Ατόμων με Αναπηρία (</w:t>
      </w:r>
      <w:r w:rsidRPr="00B32F38">
        <w:rPr>
          <w:lang w:val="en-US"/>
        </w:rPr>
        <w:t>European</w:t>
      </w:r>
      <w:r w:rsidRPr="00B32F38">
        <w:t xml:space="preserve"> </w:t>
      </w:r>
      <w:r w:rsidRPr="00B32F38">
        <w:rPr>
          <w:lang w:val="en-US"/>
        </w:rPr>
        <w:t>Disability</w:t>
      </w:r>
      <w:r w:rsidRPr="00B32F38">
        <w:t xml:space="preserve"> </w:t>
      </w:r>
      <w:r w:rsidRPr="00B32F38">
        <w:rPr>
          <w:lang w:val="en-US"/>
        </w:rPr>
        <w:t>Forum</w:t>
      </w:r>
      <w:r w:rsidRPr="00B32F38">
        <w:t>).</w:t>
      </w:r>
    </w:p>
    <w:p w:rsidR="004979A9" w:rsidRDefault="00A227D8" w:rsidP="00B32F38">
      <w:pPr>
        <w:tabs>
          <w:tab w:val="left" w:pos="0"/>
        </w:tabs>
        <w:rPr>
          <w:b/>
        </w:rPr>
      </w:pPr>
      <w:r w:rsidRPr="007317FA">
        <w:rPr>
          <w:b/>
        </w:rPr>
        <w:t xml:space="preserve">Στο πλαίσιο της συζήτησης στη Διαρκή Επιτροπή Παραγωγής και Εμπορίου της Βουλής των Ελλήνων </w:t>
      </w:r>
      <w:r w:rsidR="007317FA" w:rsidRPr="007317FA">
        <w:rPr>
          <w:b/>
        </w:rPr>
        <w:t xml:space="preserve">του </w:t>
      </w:r>
      <w:r w:rsidRPr="007317FA">
        <w:rPr>
          <w:b/>
        </w:rPr>
        <w:t>σχεδίου νόμου «</w:t>
      </w:r>
      <w:r w:rsidRPr="007317FA">
        <w:rPr>
          <w:b/>
          <w:i/>
        </w:rPr>
        <w:t>Χωρικός Σχεδιασμός-Βιώσιμη Ανάπτυξη»</w:t>
      </w:r>
      <w:r w:rsidR="004979A9">
        <w:rPr>
          <w:b/>
        </w:rPr>
        <w:t xml:space="preserve">, </w:t>
      </w:r>
      <w:r w:rsidR="00B32F38" w:rsidRPr="007317FA">
        <w:rPr>
          <w:b/>
        </w:rPr>
        <w:t xml:space="preserve">η Ε.Σ.Α.μεΑ. σας αποστέλλει </w:t>
      </w:r>
      <w:r w:rsidRPr="007317FA">
        <w:rPr>
          <w:b/>
        </w:rPr>
        <w:t xml:space="preserve">με το παρόν </w:t>
      </w:r>
      <w:r w:rsidR="005F0DE1" w:rsidRPr="007317FA">
        <w:rPr>
          <w:b/>
        </w:rPr>
        <w:t xml:space="preserve">τα αιτήματά </w:t>
      </w:r>
      <w:r w:rsidRPr="007317FA">
        <w:rPr>
          <w:b/>
        </w:rPr>
        <w:t xml:space="preserve">της, τα οποία αν και  υποβλήθηκαν: </w:t>
      </w:r>
    </w:p>
    <w:p w:rsidR="004979A9" w:rsidRDefault="00A227D8" w:rsidP="00B32F38">
      <w:pPr>
        <w:tabs>
          <w:tab w:val="left" w:pos="0"/>
        </w:tabs>
        <w:rPr>
          <w:b/>
          <w:color w:val="auto"/>
        </w:rPr>
      </w:pPr>
      <w:r w:rsidRPr="007317FA">
        <w:rPr>
          <w:b/>
        </w:rPr>
        <w:t>α</w:t>
      </w:r>
      <w:r w:rsidRPr="007317FA">
        <w:rPr>
          <w:b/>
          <w:color w:val="auto"/>
        </w:rPr>
        <w:t xml:space="preserve">) εγγράφως στον Υπουργό Περιβάλλοντος &amp; Ενέργειας κ. Γ. Σταθάκη με το υπ. αριθ. πρωτ. 1715/17.11.2016 έγγραφό μας και </w:t>
      </w:r>
    </w:p>
    <w:p w:rsidR="004979A9" w:rsidRDefault="00A227D8" w:rsidP="00B32F38">
      <w:pPr>
        <w:tabs>
          <w:tab w:val="left" w:pos="0"/>
        </w:tabs>
        <w:rPr>
          <w:b/>
          <w:color w:val="auto"/>
        </w:rPr>
      </w:pPr>
      <w:r w:rsidRPr="007317FA">
        <w:rPr>
          <w:b/>
          <w:color w:val="auto"/>
        </w:rPr>
        <w:t xml:space="preserve">β) ηλεκτρονικά  στον διαδικτυακό τόπο </w:t>
      </w:r>
      <w:hyperlink r:id="rId10" w:history="1">
        <w:r w:rsidRPr="007317FA">
          <w:rPr>
            <w:rStyle w:val="-"/>
            <w:b/>
            <w:color w:val="auto"/>
          </w:rPr>
          <w:t>www.opegov.gr</w:t>
        </w:r>
      </w:hyperlink>
      <w:r w:rsidRPr="007317FA">
        <w:rPr>
          <w:b/>
          <w:color w:val="auto"/>
        </w:rPr>
        <w:t xml:space="preserve"> στις </w:t>
      </w:r>
      <w:r w:rsidR="004979A9">
        <w:rPr>
          <w:b/>
          <w:color w:val="auto"/>
        </w:rPr>
        <w:t xml:space="preserve">17.11.2016, </w:t>
      </w:r>
    </w:p>
    <w:p w:rsidR="004979A9" w:rsidRPr="004979A9" w:rsidRDefault="00A227D8" w:rsidP="00B32F38">
      <w:pPr>
        <w:tabs>
          <w:tab w:val="left" w:pos="0"/>
        </w:tabs>
        <w:rPr>
          <w:b/>
          <w:color w:val="auto"/>
          <w:u w:val="single"/>
        </w:rPr>
      </w:pPr>
      <w:r w:rsidRPr="004979A9">
        <w:rPr>
          <w:b/>
          <w:color w:val="auto"/>
          <w:u w:val="single"/>
        </w:rPr>
        <w:t xml:space="preserve">δυστυχώς δεν λήφθηκαν υπόψη. </w:t>
      </w:r>
    </w:p>
    <w:p w:rsidR="00735466" w:rsidRPr="004979A9" w:rsidRDefault="00A227D8" w:rsidP="000A5F44">
      <w:pPr>
        <w:tabs>
          <w:tab w:val="left" w:pos="0"/>
        </w:tabs>
        <w:rPr>
          <w:b/>
          <w:u w:val="single"/>
        </w:rPr>
      </w:pPr>
      <w:r w:rsidRPr="004979A9">
        <w:rPr>
          <w:b/>
          <w:color w:val="auto"/>
          <w:u w:val="single"/>
        </w:rPr>
        <w:t xml:space="preserve">Για αυτό το λόγο ζητούμε </w:t>
      </w:r>
      <w:r w:rsidR="004979A9" w:rsidRPr="004979A9">
        <w:rPr>
          <w:b/>
          <w:color w:val="auto"/>
          <w:u w:val="single"/>
        </w:rPr>
        <w:t xml:space="preserve">να μας </w:t>
      </w:r>
      <w:r w:rsidR="007317FA" w:rsidRPr="004979A9">
        <w:rPr>
          <w:b/>
          <w:color w:val="auto"/>
          <w:u w:val="single"/>
        </w:rPr>
        <w:t xml:space="preserve">αποστείλετε πρόσκληση προκειμένου εκπρόσωπός μας να </w:t>
      </w:r>
      <w:r w:rsidR="004979A9" w:rsidRPr="004979A9">
        <w:rPr>
          <w:b/>
          <w:color w:val="auto"/>
          <w:u w:val="single"/>
        </w:rPr>
        <w:t xml:space="preserve">σας </w:t>
      </w:r>
      <w:r w:rsidR="007317FA" w:rsidRPr="004979A9">
        <w:rPr>
          <w:b/>
          <w:color w:val="auto"/>
          <w:u w:val="single"/>
        </w:rPr>
        <w:t xml:space="preserve">παρουσιάσει </w:t>
      </w:r>
      <w:r w:rsidR="004979A9">
        <w:rPr>
          <w:b/>
          <w:color w:val="auto"/>
          <w:u w:val="single"/>
        </w:rPr>
        <w:t xml:space="preserve">και </w:t>
      </w:r>
      <w:r w:rsidR="007317FA" w:rsidRPr="004979A9">
        <w:rPr>
          <w:b/>
          <w:color w:val="auto"/>
          <w:u w:val="single"/>
        </w:rPr>
        <w:t xml:space="preserve">δια ζώσης τα </w:t>
      </w:r>
      <w:r w:rsidR="004979A9">
        <w:rPr>
          <w:b/>
          <w:color w:val="auto"/>
          <w:u w:val="single"/>
        </w:rPr>
        <w:t>παρακάτω αιτήματά μας</w:t>
      </w:r>
      <w:r w:rsidR="007317FA" w:rsidRPr="004979A9">
        <w:rPr>
          <w:b/>
          <w:color w:val="auto"/>
          <w:u w:val="single"/>
        </w:rPr>
        <w:t xml:space="preserve">.  </w:t>
      </w:r>
    </w:p>
    <w:p w:rsidR="00735466" w:rsidRPr="00817801" w:rsidRDefault="004979A9" w:rsidP="00735466">
      <w:pPr>
        <w:tabs>
          <w:tab w:val="left" w:pos="0"/>
        </w:tabs>
        <w:rPr>
          <w:b/>
          <w:color w:val="auto"/>
          <w:u w:val="single"/>
        </w:rPr>
      </w:pPr>
      <w:r>
        <w:rPr>
          <w:b/>
          <w:color w:val="auto"/>
          <w:u w:val="single"/>
        </w:rPr>
        <w:t>Δ</w:t>
      </w:r>
      <w:r w:rsidR="00735466" w:rsidRPr="00817801">
        <w:rPr>
          <w:b/>
          <w:color w:val="auto"/>
          <w:u w:val="single"/>
        </w:rPr>
        <w:t>ιαπιστώνοντας ότι:</w:t>
      </w:r>
    </w:p>
    <w:p w:rsidR="004979A9" w:rsidRDefault="004979A9" w:rsidP="004979A9">
      <w:pPr>
        <w:pStyle w:val="a8"/>
        <w:numPr>
          <w:ilvl w:val="0"/>
          <w:numId w:val="44"/>
        </w:numPr>
        <w:tabs>
          <w:tab w:val="left" w:pos="0"/>
        </w:tabs>
        <w:ind w:left="142" w:hanging="142"/>
        <w:rPr>
          <w:color w:val="auto"/>
        </w:rPr>
      </w:pPr>
      <w:r w:rsidRPr="004979A9">
        <w:rPr>
          <w:color w:val="auto"/>
        </w:rPr>
        <w:lastRenderedPageBreak/>
        <w:t>κατά τον χωρικό σχεδιασμό μέχρι σήμερα έχει ακολουθηθεί το μοντέλο του «μέσου χρήστη», με αποτέλεσμα αυτός να λειτουργεί συχνά ως εμπόδιο για τη συμμετοχή στις κοινωνικο-οικονομικές δραστηριότητες όλων των πολιτών που αποκλίνουν από αυτό το μοντέλο, μεταξύ των οποίων συγκαταλέγονται οι ηλικιωμένοι και τα άτομα μειω</w:t>
      </w:r>
      <w:r>
        <w:rPr>
          <w:color w:val="auto"/>
        </w:rPr>
        <w:t xml:space="preserve">μένης κινητικότητας γενικότερα, </w:t>
      </w:r>
    </w:p>
    <w:p w:rsidR="004979A9" w:rsidRDefault="004979A9" w:rsidP="004979A9">
      <w:pPr>
        <w:pStyle w:val="a8"/>
        <w:tabs>
          <w:tab w:val="left" w:pos="0"/>
        </w:tabs>
        <w:ind w:left="142"/>
        <w:rPr>
          <w:color w:val="auto"/>
        </w:rPr>
      </w:pPr>
    </w:p>
    <w:p w:rsidR="004979A9" w:rsidRDefault="004979A9" w:rsidP="004979A9">
      <w:pPr>
        <w:pStyle w:val="a8"/>
        <w:numPr>
          <w:ilvl w:val="0"/>
          <w:numId w:val="44"/>
        </w:numPr>
        <w:tabs>
          <w:tab w:val="left" w:pos="0"/>
        </w:tabs>
        <w:ind w:left="142" w:hanging="142"/>
        <w:rPr>
          <w:color w:val="auto"/>
        </w:rPr>
      </w:pPr>
      <w:r>
        <w:rPr>
          <w:color w:val="auto"/>
        </w:rPr>
        <w:t>η</w:t>
      </w:r>
      <w:r w:rsidRPr="004979A9">
        <w:rPr>
          <w:color w:val="auto"/>
        </w:rPr>
        <w:t xml:space="preserve"> εφαρμογή των αρχών του «Καθολικού Σχεδιασμού» («Universal design» ή «Design For All»), που προωθείται τόσο διεθνώς όσο και από την Ευρωπαϊκή Ένωση (βλ. Resolution ResAP(2007)3 “Achieving full participation through Universal Design”, που υιοθετήθηκε από την Επιτροπή Υπουργών του Ευρωπαϊκού Συμβουλίου στις 12.12.2007 στην 1014η συνεδρίασή της), αποδεδειγμένα οδηγεί στη δημιουργία αειφόρων περιβαλλόντων, ασφαλέστερων και χωρίς διακρίσεις, που προάγουν την κοινωνική συνοχή και βιώσιμη ανάπτυξη. Η Σύμβαση για τα Δικαιώματα των Ατόμων με Αναπηρία (Ν.4074/2012), ορίζοντας στο άρθρο 1 ότι «τα άτομα με αναπηρίες περιλαμβάνουν εκείνα που έχουν μακροχρόνιες σωματικές, διανοητικές, πνευματικές ή αισθητήριες αναπηρίες, που, σε αλληλεπίδραση με διάφορα εμπόδια, μπορούν να παρεμποδίσουν την πλήρη και αποτελεσματική συμμετοχή τους στην κοινωνία, σε ίση βάση με τους άλλους», συσχετίζει άμεσα την αναπηρία με το περιβάλλ</w:t>
      </w:r>
      <w:r>
        <w:rPr>
          <w:color w:val="auto"/>
        </w:rPr>
        <w:t xml:space="preserve">ον διαβίωσης, αστικό ή αγροτικό, </w:t>
      </w:r>
    </w:p>
    <w:p w:rsidR="004979A9" w:rsidRPr="004979A9" w:rsidRDefault="004979A9" w:rsidP="004979A9">
      <w:pPr>
        <w:pStyle w:val="a8"/>
        <w:tabs>
          <w:tab w:val="left" w:pos="0"/>
        </w:tabs>
        <w:ind w:left="142"/>
        <w:rPr>
          <w:color w:val="auto"/>
        </w:rPr>
      </w:pPr>
    </w:p>
    <w:p w:rsidR="004979A9" w:rsidRPr="004979A9" w:rsidRDefault="00735466" w:rsidP="004979A9">
      <w:pPr>
        <w:pStyle w:val="a8"/>
        <w:numPr>
          <w:ilvl w:val="0"/>
          <w:numId w:val="44"/>
        </w:numPr>
        <w:tabs>
          <w:tab w:val="left" w:pos="0"/>
        </w:tabs>
        <w:ind w:left="142" w:hanging="142"/>
        <w:rPr>
          <w:color w:val="auto"/>
        </w:rPr>
      </w:pPr>
      <w:r w:rsidRPr="00817801">
        <w:rPr>
          <w:color w:val="auto"/>
        </w:rPr>
        <w:t>το παρόν σχέδιο νόμου αφενός ακολουθεί το μοντέλο του «μέσου χρήστη»</w:t>
      </w:r>
      <w:r w:rsidR="00CC4812" w:rsidRPr="00817801">
        <w:rPr>
          <w:color w:val="auto"/>
        </w:rPr>
        <w:t xml:space="preserve"> </w:t>
      </w:r>
      <w:r w:rsidRPr="00817801">
        <w:rPr>
          <w:color w:val="auto"/>
        </w:rPr>
        <w:t xml:space="preserve">αφετέρου </w:t>
      </w:r>
      <w:r w:rsidR="000A5F44" w:rsidRPr="00817801">
        <w:rPr>
          <w:color w:val="auto"/>
        </w:rPr>
        <w:t xml:space="preserve"> διαπνέεται από καθαρά τεχνοκρατική αντίλ</w:t>
      </w:r>
      <w:bookmarkStart w:id="0" w:name="_GoBack"/>
      <w:bookmarkEnd w:id="0"/>
      <w:r w:rsidR="000A5F44" w:rsidRPr="00817801">
        <w:rPr>
          <w:color w:val="auto"/>
        </w:rPr>
        <w:t>ηψη και δεν φαίνεται να λαμβάνει υπόψη τη διάσταση του χωρικού σχεδιασμού ως μέσ</w:t>
      </w:r>
      <w:r w:rsidRPr="00817801">
        <w:rPr>
          <w:color w:val="auto"/>
        </w:rPr>
        <w:t xml:space="preserve">ου επίτευξης κοινωνικής συνοχής, </w:t>
      </w:r>
      <w:r w:rsidR="000A5F44" w:rsidRPr="00817801">
        <w:rPr>
          <w:color w:val="auto"/>
        </w:rPr>
        <w:t xml:space="preserve"> </w:t>
      </w:r>
    </w:p>
    <w:p w:rsidR="00735466" w:rsidRPr="00817801" w:rsidRDefault="00735466" w:rsidP="00735466">
      <w:pPr>
        <w:tabs>
          <w:tab w:val="left" w:pos="0"/>
        </w:tabs>
        <w:rPr>
          <w:b/>
          <w:color w:val="auto"/>
          <w:u w:val="single"/>
        </w:rPr>
      </w:pPr>
      <w:r w:rsidRPr="00817801">
        <w:rPr>
          <w:b/>
          <w:color w:val="auto"/>
          <w:u w:val="single"/>
        </w:rPr>
        <w:t>και λαμβάνοντας υπόψη</w:t>
      </w:r>
      <w:r w:rsidR="00832298" w:rsidRPr="00817801">
        <w:rPr>
          <w:b/>
          <w:color w:val="auto"/>
          <w:u w:val="single"/>
        </w:rPr>
        <w:t xml:space="preserve">: </w:t>
      </w:r>
    </w:p>
    <w:p w:rsidR="00832298" w:rsidRPr="00817801" w:rsidRDefault="00832298" w:rsidP="00735466">
      <w:pPr>
        <w:tabs>
          <w:tab w:val="left" w:pos="0"/>
        </w:tabs>
        <w:rPr>
          <w:b/>
          <w:color w:val="auto"/>
          <w:u w:val="single"/>
        </w:rPr>
      </w:pPr>
      <w:r w:rsidRPr="00817801">
        <w:rPr>
          <w:b/>
          <w:color w:val="auto"/>
          <w:u w:val="single"/>
        </w:rPr>
        <w:t xml:space="preserve">α) τις παρακάτω απαιτήσεις του συντάγματος και της εθνικής νομοθεσίας μας: </w:t>
      </w:r>
    </w:p>
    <w:p w:rsidR="00735466" w:rsidRPr="00817801" w:rsidRDefault="00735466" w:rsidP="00735466">
      <w:pPr>
        <w:tabs>
          <w:tab w:val="left" w:pos="0"/>
        </w:tabs>
        <w:rPr>
          <w:color w:val="auto"/>
        </w:rPr>
      </w:pPr>
      <w:r w:rsidRPr="00817801">
        <w:rPr>
          <w:color w:val="auto"/>
        </w:rPr>
        <w:t>-της παρ. 6 του Άρθρου 21 του Συντάγματος της χώρας, σύμφωνα με την οποία «</w:t>
      </w:r>
      <w:r w:rsidRPr="00817801">
        <w:rPr>
          <w:i/>
          <w:color w:val="auto"/>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817801">
        <w:rPr>
          <w:color w:val="auto"/>
        </w:rPr>
        <w:t xml:space="preserve">, </w:t>
      </w:r>
    </w:p>
    <w:p w:rsidR="00735466" w:rsidRPr="00817801" w:rsidRDefault="00735466" w:rsidP="00735466">
      <w:pPr>
        <w:tabs>
          <w:tab w:val="left" w:pos="0"/>
        </w:tabs>
        <w:rPr>
          <w:color w:val="auto"/>
        </w:rPr>
      </w:pPr>
      <w:r w:rsidRPr="00817801">
        <w:rPr>
          <w:color w:val="auto"/>
        </w:rPr>
        <w:t>-</w:t>
      </w:r>
      <w:r w:rsidR="00CC4812" w:rsidRPr="00817801">
        <w:rPr>
          <w:color w:val="auto"/>
        </w:rPr>
        <w:t xml:space="preserve"> του</w:t>
      </w:r>
      <w:r w:rsidRPr="00817801">
        <w:rPr>
          <w:color w:val="auto"/>
        </w:rPr>
        <w:t xml:space="preserve"> </w:t>
      </w:r>
      <w:hyperlink r:id="rId11" w:history="1">
        <w:r w:rsidRPr="00817801">
          <w:rPr>
            <w:color w:val="auto"/>
          </w:rPr>
          <w:t>Ν.40</w:t>
        </w:r>
        <w:r w:rsidR="00CC4812" w:rsidRPr="00817801">
          <w:rPr>
            <w:color w:val="auto"/>
          </w:rPr>
          <w:t>74</w:t>
        </w:r>
        <w:r w:rsidR="00C7139F" w:rsidRPr="00817801">
          <w:rPr>
            <w:color w:val="auto"/>
          </w:rPr>
          <w:t>/2012</w:t>
        </w:r>
      </w:hyperlink>
      <w:r w:rsidR="00C7139F" w:rsidRPr="00817801">
        <w:rPr>
          <w:color w:val="auto"/>
        </w:rPr>
        <w:t xml:space="preserve"> (ΦΕΚ 88 Α΄/11.04.2012), </w:t>
      </w:r>
      <w:r w:rsidR="00CC4812" w:rsidRPr="00817801">
        <w:rPr>
          <w:color w:val="auto"/>
        </w:rPr>
        <w:t xml:space="preserve">με </w:t>
      </w:r>
      <w:r w:rsidR="00C7139F" w:rsidRPr="00817801">
        <w:rPr>
          <w:color w:val="auto"/>
        </w:rPr>
        <w:t xml:space="preserve">τον </w:t>
      </w:r>
      <w:r w:rsidR="00CC4812" w:rsidRPr="00817801">
        <w:rPr>
          <w:color w:val="auto"/>
        </w:rPr>
        <w:t>οποίο κυρώθηκε από τη χώρα μας η Διεθνής Σύμβαση για τα Δικ</w:t>
      </w:r>
      <w:r w:rsidR="00C7139F" w:rsidRPr="00817801">
        <w:rPr>
          <w:color w:val="auto"/>
        </w:rPr>
        <w:t xml:space="preserve">αιώματα των Ατόμων με Αναπηρία, στον </w:t>
      </w:r>
      <w:r w:rsidR="00CC4812" w:rsidRPr="00817801">
        <w:rPr>
          <w:color w:val="auto"/>
        </w:rPr>
        <w:t xml:space="preserve">οποίο υπαγορεύονται τα εξής: </w:t>
      </w:r>
    </w:p>
    <w:p w:rsidR="00C7139F" w:rsidRPr="00817801" w:rsidRDefault="00C7139F" w:rsidP="00735466">
      <w:pPr>
        <w:tabs>
          <w:tab w:val="left" w:pos="0"/>
        </w:tabs>
        <w:rPr>
          <w:color w:val="auto"/>
        </w:rPr>
      </w:pPr>
      <w:bookmarkStart w:id="1" w:name="systran_seg_35"/>
      <w:r w:rsidRPr="00817801">
        <w:rPr>
          <w:i/>
          <w:color w:val="auto"/>
        </w:rPr>
        <w:t>« 1. 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w:t>
      </w:r>
      <w:r w:rsidRPr="00817801">
        <w:rPr>
          <w:i/>
          <w:color w:val="auto"/>
          <w:spacing w:val="40"/>
          <w:sz w:val="24"/>
        </w:rPr>
        <w:t xml:space="preserve"> [..] </w:t>
      </w:r>
      <w:r w:rsidRPr="00817801">
        <w:rPr>
          <w:i/>
          <w:color w:val="auto"/>
        </w:rPr>
        <w:t>στ. Να αναλάβουν ή να προάγουν την έρευνα και ανάπτυξη των καθολικά σχεδιασμένων αγαθών, υπηρεσιών, εξοπλισμού και εγκαταστάσεων, όπως αυτό καθορίζεται στο άρθρο 2 της παρούσας Σύμβασης, που θα πρέπει να απαιτήσουν την ελάχιστη δυνατή προσαρμογή και το λιγότερο κόστος, προκειμένου να ικανοποιούνται οι συγκεκριμένες ανάγκες ενός ατόμου με αναπηρίες, να προάγουν τη διαθεσιμότητα και τη χρήση τους και να προάγουν τον καθολικό σχεδιασμό κατά την ανάπτυξη των προτύπων και κατευθυντήριων οδηγιών</w:t>
      </w:r>
      <w:bookmarkEnd w:id="1"/>
      <w:r w:rsidRPr="00817801">
        <w:rPr>
          <w:i/>
          <w:color w:val="auto"/>
        </w:rPr>
        <w:t xml:space="preserve"> […]» </w:t>
      </w:r>
      <w:r w:rsidR="00210510" w:rsidRPr="00817801">
        <w:rPr>
          <w:color w:val="auto"/>
        </w:rPr>
        <w:t>(άρθρο 4 «Γενικές Υποχρεώσεις»)</w:t>
      </w:r>
    </w:p>
    <w:p w:rsidR="00735466" w:rsidRPr="00817801" w:rsidRDefault="00735466" w:rsidP="00735466">
      <w:pPr>
        <w:tabs>
          <w:tab w:val="left" w:pos="0"/>
        </w:tabs>
        <w:rPr>
          <w:color w:val="auto"/>
        </w:rPr>
      </w:pPr>
      <w:r w:rsidRPr="00817801">
        <w:rPr>
          <w:color w:val="auto"/>
        </w:rPr>
        <w:t xml:space="preserve">- </w:t>
      </w:r>
      <w:r w:rsidRPr="00817801">
        <w:rPr>
          <w:i/>
          <w:color w:val="auto"/>
        </w:rPr>
        <w:t xml:space="preserve">«Προκειμένου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w:t>
      </w:r>
      <w:r w:rsidRPr="00817801">
        <w:rPr>
          <w:i/>
          <w:color w:val="auto"/>
        </w:rPr>
        <w:lastRenderedPageBreak/>
        <w:t>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Τα μέτρα αυτά, που θα συμπεριλαμβάνουν τον προσδιορισμό και την εξάλειψη των εμποδίων και κωλυμάτων  προσβασιμότητας, θα ισχύουν, μεταξύ άλλων, για: 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w:t>
      </w:r>
      <w:r w:rsidR="00C7139F" w:rsidRPr="00817801">
        <w:rPr>
          <w:color w:val="auto"/>
        </w:rPr>
        <w:t xml:space="preserve"> (Άρθρο 9 «Προσβασιμότητα), </w:t>
      </w:r>
    </w:p>
    <w:p w:rsidR="00735466" w:rsidRPr="00817801" w:rsidRDefault="00C7139F" w:rsidP="00735466">
      <w:pPr>
        <w:tabs>
          <w:tab w:val="left" w:pos="0"/>
        </w:tabs>
        <w:rPr>
          <w:color w:val="auto"/>
        </w:rPr>
      </w:pPr>
      <w:r w:rsidRPr="00817801">
        <w:rPr>
          <w:color w:val="auto"/>
        </w:rPr>
        <w:t>-</w:t>
      </w:r>
      <w:r w:rsidR="00735466" w:rsidRPr="00817801">
        <w:rPr>
          <w:color w:val="auto"/>
        </w:rPr>
        <w:t>τις παρ. 7 και 8 του άρθρου 4 του Ν. 3979/2011 «</w:t>
      </w:r>
      <w:r w:rsidR="00735466" w:rsidRPr="00817801">
        <w:rPr>
          <w:i/>
          <w:color w:val="auto"/>
        </w:rPr>
        <w:t>Για την ηλεκτρονική διακυβέρνηση και λοιπές διατάξεις» (ΦΕΚ 138 Α'/16.06.2011)7, σύμφωνα με τις οποίες: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και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sidR="00735466" w:rsidRPr="00817801">
        <w:rPr>
          <w:color w:val="auto"/>
        </w:rPr>
        <w:t xml:space="preserve">, </w:t>
      </w:r>
    </w:p>
    <w:p w:rsidR="00735466" w:rsidRPr="00817801" w:rsidRDefault="00C7139F" w:rsidP="00735466">
      <w:pPr>
        <w:tabs>
          <w:tab w:val="left" w:pos="0"/>
        </w:tabs>
        <w:rPr>
          <w:color w:val="auto"/>
        </w:rPr>
      </w:pPr>
      <w:r w:rsidRPr="00817801">
        <w:rPr>
          <w:color w:val="auto"/>
        </w:rPr>
        <w:t>-της</w:t>
      </w:r>
      <w:r w:rsidR="00735466" w:rsidRPr="00817801">
        <w:rPr>
          <w:color w:val="auto"/>
        </w:rPr>
        <w:t xml:space="preserve"> ΥΑΠ/Φ.40.4/1/989 </w:t>
      </w:r>
      <w:r w:rsidR="00735466" w:rsidRPr="00817801">
        <w:rPr>
          <w:i/>
          <w:color w:val="auto"/>
        </w:rPr>
        <w:t>«Κύρωση Πλαισίου Παροχής Υπηρεσιών Ηλεκτρονικής Διακυβέρνησης»</w:t>
      </w:r>
      <w:r w:rsidR="00735466" w:rsidRPr="00817801">
        <w:rPr>
          <w:color w:val="auto"/>
        </w:rPr>
        <w:t xml:space="preserve">, όπου στο Παράρτημα Ι (στην ενότητα 7 «Προσβασιμότητα», ΚΥ. 49 -Βλ. επίσης ΚΠ.27) ορίζεται ότι οι δημόσιοι διαδικτυακοί τόποι πρέπει να συμμορφώνονται με το πρότυπο «Οδηγίες για την Προσβασιμότητα του Περιεχομένου του Ιστού» (WCAG) έκδοση 2.0, </w:t>
      </w:r>
      <w:r w:rsidR="00210510" w:rsidRPr="00817801">
        <w:rPr>
          <w:color w:val="auto"/>
        </w:rPr>
        <w:t xml:space="preserve">επίπεδο προσβασιμότητας «ΑΑ», </w:t>
      </w:r>
      <w:r w:rsidR="00735466" w:rsidRPr="00817801">
        <w:rPr>
          <w:color w:val="auto"/>
        </w:rPr>
        <w:t>το οποίο αποτελεί το de facto πρότυπο ηλεκτρονικής προσβασιμότ</w:t>
      </w:r>
      <w:r w:rsidRPr="00817801">
        <w:rPr>
          <w:color w:val="auto"/>
        </w:rPr>
        <w:t>ητας,</w:t>
      </w:r>
    </w:p>
    <w:p w:rsidR="00832298" w:rsidRPr="00817801" w:rsidRDefault="00832298" w:rsidP="00735466">
      <w:pPr>
        <w:tabs>
          <w:tab w:val="left" w:pos="0"/>
        </w:tabs>
        <w:rPr>
          <w:b/>
          <w:color w:val="auto"/>
        </w:rPr>
      </w:pPr>
      <w:r w:rsidRPr="00817801">
        <w:rPr>
          <w:b/>
          <w:color w:val="auto"/>
        </w:rPr>
        <w:t>β) τις πρόνοιες</w:t>
      </w:r>
      <w:r w:rsidR="0064189D" w:rsidRPr="00817801">
        <w:rPr>
          <w:b/>
          <w:color w:val="auto"/>
        </w:rPr>
        <w:t xml:space="preserve"> για τα άτομα με αναπηρία</w:t>
      </w:r>
      <w:r w:rsidRPr="00817801">
        <w:rPr>
          <w:b/>
          <w:color w:val="auto"/>
        </w:rPr>
        <w:t xml:space="preserve"> </w:t>
      </w:r>
      <w:hyperlink r:id="rId12" w:history="1">
        <w:r w:rsidRPr="00817801">
          <w:rPr>
            <w:rStyle w:val="-"/>
            <w:b/>
            <w:color w:val="auto"/>
          </w:rPr>
          <w:t>του νέου θεματολογίου 2030 των Ηνωμένων Εθνών για τη βιώσιμη ανάπτυξη</w:t>
        </w:r>
      </w:hyperlink>
      <w:r w:rsidR="0064189D" w:rsidRPr="00817801">
        <w:rPr>
          <w:b/>
          <w:color w:val="auto"/>
        </w:rPr>
        <w:t xml:space="preserve"> και δη του Στόχου </w:t>
      </w:r>
      <w:r w:rsidRPr="00817801">
        <w:rPr>
          <w:b/>
          <w:color w:val="auto"/>
        </w:rPr>
        <w:t>11</w:t>
      </w:r>
      <w:r w:rsidR="0064189D" w:rsidRPr="00817801">
        <w:rPr>
          <w:b/>
          <w:color w:val="auto"/>
        </w:rPr>
        <w:t xml:space="preserve">, </w:t>
      </w:r>
      <w:r w:rsidRPr="00817801">
        <w:rPr>
          <w:b/>
          <w:color w:val="auto"/>
        </w:rPr>
        <w:t xml:space="preserve">  </w:t>
      </w:r>
    </w:p>
    <w:p w:rsidR="00735466" w:rsidRPr="00832298" w:rsidRDefault="00735466" w:rsidP="00735466">
      <w:pPr>
        <w:tabs>
          <w:tab w:val="left" w:pos="0"/>
        </w:tabs>
        <w:rPr>
          <w:b/>
          <w:u w:val="single"/>
        </w:rPr>
      </w:pPr>
      <w:r w:rsidRPr="00832298">
        <w:rPr>
          <w:b/>
          <w:u w:val="single"/>
        </w:rPr>
        <w:t xml:space="preserve">η Ε.Σ.Α.μεΑ. προτείνει </w:t>
      </w:r>
      <w:r w:rsidR="0064189D">
        <w:rPr>
          <w:b/>
          <w:u w:val="single"/>
        </w:rPr>
        <w:t xml:space="preserve">τα εξής: </w:t>
      </w:r>
    </w:p>
    <w:p w:rsidR="00FC790D" w:rsidRPr="00C57F1E" w:rsidRDefault="00210510" w:rsidP="00210510">
      <w:pPr>
        <w:spacing w:after="0"/>
        <w:rPr>
          <w:b/>
        </w:rPr>
      </w:pPr>
      <w:r>
        <w:rPr>
          <w:b/>
        </w:rPr>
        <w:t xml:space="preserve">1) </w:t>
      </w:r>
      <w:r w:rsidR="00C57F1E" w:rsidRPr="00C57F1E">
        <w:rPr>
          <w:b/>
        </w:rPr>
        <w:t xml:space="preserve">Το εδάφιο α) της παρ. 1 του άρθρου 3 </w:t>
      </w:r>
      <w:r w:rsidR="0064189D" w:rsidRPr="00C57F1E">
        <w:rPr>
          <w:b/>
          <w:i/>
        </w:rPr>
        <w:t>«</w:t>
      </w:r>
      <w:r w:rsidR="00FC790D" w:rsidRPr="00C57F1E">
        <w:rPr>
          <w:b/>
          <w:i/>
        </w:rPr>
        <w:t>Εθνική Χωρική Στρατηγική</w:t>
      </w:r>
      <w:r w:rsidR="0064189D" w:rsidRPr="00C57F1E">
        <w:rPr>
          <w:b/>
          <w:i/>
        </w:rPr>
        <w:t>»</w:t>
      </w:r>
      <w:r w:rsidR="0064189D" w:rsidRPr="00C57F1E">
        <w:rPr>
          <w:b/>
        </w:rPr>
        <w:t xml:space="preserve"> να συμπληρωθεί ως ακολούθως (βλ. με έντονη γραμματοσειρά): </w:t>
      </w:r>
    </w:p>
    <w:p w:rsidR="00210510" w:rsidRPr="00FB7212" w:rsidRDefault="00210510" w:rsidP="00FB7212">
      <w:pPr>
        <w:spacing w:after="0"/>
        <w:rPr>
          <w:i/>
        </w:rPr>
      </w:pPr>
      <w:r w:rsidRPr="00210510">
        <w:rPr>
          <w:i/>
        </w:rPr>
        <w:t>«</w:t>
      </w:r>
      <w:r w:rsidR="00FB7212">
        <w:rPr>
          <w:i/>
        </w:rPr>
        <w:t xml:space="preserve"> […] </w:t>
      </w:r>
      <w:r w:rsidR="00FC790D" w:rsidRPr="00210510">
        <w:rPr>
          <w:i/>
        </w:rPr>
        <w:t xml:space="preserve">α) τη βιώσιμη ανάπτυξη και δικτύωση του εθνικού χώρου </w:t>
      </w:r>
      <w:r w:rsidR="00FC790D" w:rsidRPr="00210510">
        <w:rPr>
          <w:b/>
          <w:i/>
        </w:rPr>
        <w:t xml:space="preserve">διασφαλίζοντας την κοινωνική συνοχή και την άρση των αποκλεισμών, </w:t>
      </w:r>
      <w:r w:rsidR="00CA760E">
        <w:rPr>
          <w:b/>
          <w:i/>
        </w:rPr>
        <w:t>ιδιαιτέρως</w:t>
      </w:r>
      <w:r w:rsidR="009C2CE1">
        <w:rPr>
          <w:b/>
          <w:i/>
        </w:rPr>
        <w:t xml:space="preserve"> </w:t>
      </w:r>
      <w:r w:rsidR="00CA760E">
        <w:rPr>
          <w:b/>
          <w:i/>
        </w:rPr>
        <w:t xml:space="preserve">σε βάρος </w:t>
      </w:r>
      <w:r w:rsidR="00FC790D" w:rsidRPr="00210510">
        <w:rPr>
          <w:b/>
          <w:i/>
        </w:rPr>
        <w:t xml:space="preserve">των </w:t>
      </w:r>
      <w:r w:rsidR="009C2CE1">
        <w:rPr>
          <w:b/>
          <w:i/>
        </w:rPr>
        <w:t>ατόμων με αναπηρία</w:t>
      </w:r>
      <w:r w:rsidRPr="00210510">
        <w:rPr>
          <w:b/>
          <w:i/>
        </w:rPr>
        <w:t xml:space="preserve">[..]» </w:t>
      </w:r>
    </w:p>
    <w:p w:rsidR="00FB7212" w:rsidRDefault="00FB7212" w:rsidP="00210510">
      <w:pPr>
        <w:spacing w:after="0"/>
        <w:rPr>
          <w:b/>
        </w:rPr>
      </w:pPr>
    </w:p>
    <w:p w:rsidR="00FC790D" w:rsidRPr="00C57F1E" w:rsidRDefault="00210510" w:rsidP="00210510">
      <w:pPr>
        <w:spacing w:after="0"/>
        <w:rPr>
          <w:b/>
        </w:rPr>
      </w:pPr>
      <w:r>
        <w:rPr>
          <w:b/>
        </w:rPr>
        <w:t xml:space="preserve">2) </w:t>
      </w:r>
      <w:r w:rsidR="0064189D" w:rsidRPr="00C57F1E">
        <w:rPr>
          <w:b/>
        </w:rPr>
        <w:t xml:space="preserve">Το </w:t>
      </w:r>
      <w:r w:rsidR="00C57F1E" w:rsidRPr="00C57F1E">
        <w:rPr>
          <w:b/>
        </w:rPr>
        <w:t xml:space="preserve">εδάφιο β) της παρ. 1 του </w:t>
      </w:r>
      <w:r w:rsidR="0064189D" w:rsidRPr="00C57F1E">
        <w:rPr>
          <w:b/>
        </w:rPr>
        <w:t>άρθρο</w:t>
      </w:r>
      <w:r w:rsidR="00C57F1E" w:rsidRPr="00C57F1E">
        <w:rPr>
          <w:b/>
        </w:rPr>
        <w:t>υ</w:t>
      </w:r>
      <w:r w:rsidR="0064189D" w:rsidRPr="00C57F1E">
        <w:rPr>
          <w:b/>
        </w:rPr>
        <w:t xml:space="preserve"> </w:t>
      </w:r>
      <w:r w:rsidR="00FC790D" w:rsidRPr="00C57F1E">
        <w:rPr>
          <w:b/>
        </w:rPr>
        <w:t>4</w:t>
      </w:r>
      <w:r w:rsidR="0064189D" w:rsidRPr="00C57F1E">
        <w:rPr>
          <w:b/>
        </w:rPr>
        <w:t xml:space="preserve"> </w:t>
      </w:r>
      <w:r w:rsidR="0064189D" w:rsidRPr="00C57F1E">
        <w:rPr>
          <w:b/>
          <w:i/>
        </w:rPr>
        <w:t>«</w:t>
      </w:r>
      <w:r w:rsidR="00FC790D" w:rsidRPr="00C57F1E">
        <w:rPr>
          <w:b/>
          <w:i/>
        </w:rPr>
        <w:t>Εθνικό Συμβούλιο Χωροταξίας</w:t>
      </w:r>
      <w:r w:rsidR="0064189D" w:rsidRPr="00C57F1E">
        <w:rPr>
          <w:b/>
          <w:i/>
        </w:rPr>
        <w:t>»</w:t>
      </w:r>
      <w:r w:rsidR="0064189D" w:rsidRPr="00C57F1E">
        <w:rPr>
          <w:b/>
        </w:rPr>
        <w:t xml:space="preserve"> να συμπληρωθεί ως ακολούθως (βλ. με έντονη γραμματοσειρά): </w:t>
      </w:r>
    </w:p>
    <w:p w:rsidR="00FC790D" w:rsidRPr="00210510" w:rsidRDefault="00210510" w:rsidP="00210510">
      <w:pPr>
        <w:spacing w:after="0"/>
        <w:rPr>
          <w:i/>
        </w:rPr>
      </w:pPr>
      <w:r w:rsidRPr="00210510">
        <w:rPr>
          <w:i/>
        </w:rPr>
        <w:t>«</w:t>
      </w:r>
      <w:r w:rsidR="00FC790D" w:rsidRPr="00210510">
        <w:rPr>
          <w:i/>
        </w:rPr>
        <w:t>1. Συνιστάται στο Υπουργείο Περιβάλλοντος και Ενέργειας (ΥΠΕN), Εθνικό Συμβούλιο Χωροτ</w:t>
      </w:r>
      <w:r w:rsidR="00FB7212">
        <w:rPr>
          <w:i/>
        </w:rPr>
        <w:t>αξίας το οποίο αποτελείται από δεκαεννέα</w:t>
      </w:r>
      <w:r w:rsidR="00FC790D" w:rsidRPr="00210510">
        <w:rPr>
          <w:i/>
        </w:rPr>
        <w:t xml:space="preserve"> </w:t>
      </w:r>
      <w:r w:rsidR="00FB7212">
        <w:rPr>
          <w:i/>
        </w:rPr>
        <w:t>(19</w:t>
      </w:r>
      <w:r w:rsidR="00FC790D" w:rsidRPr="00210510">
        <w:rPr>
          <w:i/>
        </w:rPr>
        <w:t>) μέλη και συγκροτείται από:</w:t>
      </w:r>
    </w:p>
    <w:p w:rsidR="00FC790D" w:rsidRPr="00210510" w:rsidRDefault="00FC790D" w:rsidP="00FC790D">
      <w:pPr>
        <w:rPr>
          <w:i/>
        </w:rPr>
      </w:pPr>
      <w:r w:rsidRPr="00210510">
        <w:rPr>
          <w:i/>
        </w:rPr>
        <w:t>α) Έναν επιστήμονα αναγνωρισμένου κύρους, ευρείας αποδοχής και εμπειρίας σε θέματα χωροταξίας που ορίζεται από τον Υπουργό Περιβάλλοντος και Ενέργειας, ως Πρόεδρο.</w:t>
      </w:r>
    </w:p>
    <w:p w:rsidR="00FC790D" w:rsidRDefault="00FC790D" w:rsidP="00FC790D">
      <w:r w:rsidRPr="00210510">
        <w:rPr>
          <w:i/>
        </w:rPr>
        <w:t xml:space="preserve">β) Έναν εκπρόσωπο από: την Ένωση Περιφερειών Ελλάδος (ΕΝΠΕ), την Κεντρική Ένωση Δήμων Ελλάδος (ΚΕΔΕ), το Τεχνικό Επιμελητήριο Ελλάδος (ΤΕΕ), το Γεωτεχνικό Επιμελητήριο Ελλάδας (ΓΕΩΤΕΕ), το Οικονομικό Επιμελητήριο Ελλάδος (ΟΕΕ), το Ξενοδοχειακό Επιμελητήριο Ελλάδος (ΞΕΕ), τον Σύνδεσμο Ελληνικών Τουριστικών Επιχειρήσεων (ΣΕΤΕ), , τον Σύνδεσμο Επιχειρήσεων και Βιομηχανιών (ΣΕΒ), </w:t>
      </w:r>
      <w:r w:rsidR="00FB7212">
        <w:rPr>
          <w:i/>
        </w:rPr>
        <w:t xml:space="preserve">την Ελληνική Συνομοσπονδία Εμπορίου και Επιχειρηματικότητας (ΕΣΕΕ), </w:t>
      </w:r>
      <w:r w:rsidRPr="00210510">
        <w:rPr>
          <w:i/>
        </w:rPr>
        <w:t xml:space="preserve">τη </w:t>
      </w:r>
      <w:r w:rsidRPr="00210510">
        <w:rPr>
          <w:i/>
        </w:rPr>
        <w:lastRenderedPageBreak/>
        <w:t xml:space="preserve">Γενική Συνομοσπονδία Εργατών Ελλάδος (ΓΣΕΕ), </w:t>
      </w:r>
      <w:r w:rsidRPr="00210510">
        <w:rPr>
          <w:b/>
          <w:i/>
        </w:rPr>
        <w:t>την Εθνική Συνομοσπονδία Ατόμων με Αναπηρία (ΕΣΑμεΑ)</w:t>
      </w:r>
      <w:r w:rsidRPr="00210510">
        <w:rPr>
          <w:i/>
        </w:rPr>
        <w:t>, την Γενική Συνομοσπονδία Επαγγελματιών Βιοτεχνών Εμπόρων Ελλάδας (ΓΣΕΒΕΕ), την Πανελλήνια Συνομοσπονδία Ενώσεων Αγροτικών Συνεταιρισμών (ΠΑΣΕΓΕΣ), την Πανελλήνια Ένωση Αρχιτεκτόνων Διπλωματούχων Ανωτάτων Σχολών (ΣΑΔΑΣ-ΠΕΑ), τον Σύλλογο Ελλήνων Μηχανικών Πολεοδομίας, Χωροταξίας και Περιφερειακής Ανάπτυξης (ΣΕΜΠΧΠΑ), και τον Σύλλογο Ελλήνων Πολεοδόμων και Χωροτ</w:t>
      </w:r>
      <w:r w:rsidR="00210510" w:rsidRPr="00210510">
        <w:rPr>
          <w:i/>
        </w:rPr>
        <w:t>ακτών (ΣΕΠΟΧ)</w:t>
      </w:r>
      <w:r w:rsidR="00210510">
        <w:t>».</w:t>
      </w:r>
    </w:p>
    <w:p w:rsidR="00FB7212" w:rsidRDefault="0064189D" w:rsidP="00FC790D">
      <w:pPr>
        <w:rPr>
          <w:b/>
          <w:color w:val="auto"/>
        </w:rPr>
      </w:pPr>
      <w:r w:rsidRPr="00FB7212">
        <w:rPr>
          <w:b/>
          <w:color w:val="auto"/>
        </w:rPr>
        <w:t xml:space="preserve">Αξίζει να επισημανθεί ότι λόγω της πολύχρονης εμπειρίας και τεχνογνωσίας που </w:t>
      </w:r>
      <w:r w:rsidR="00C00A75" w:rsidRPr="00FB7212">
        <w:rPr>
          <w:b/>
          <w:color w:val="auto"/>
        </w:rPr>
        <w:t xml:space="preserve">η Ε.Σ.Α.μεΑ. </w:t>
      </w:r>
      <w:r w:rsidR="00171D13">
        <w:rPr>
          <w:b/>
          <w:color w:val="auto"/>
        </w:rPr>
        <w:t xml:space="preserve">διαθέτει, </w:t>
      </w:r>
      <w:r w:rsidRPr="00FB7212">
        <w:rPr>
          <w:b/>
          <w:color w:val="auto"/>
        </w:rPr>
        <w:t>αλλά και του επίσημα αναγνωρισμένου ρόλου της ως κοινωνικού εταίρου της ελληνικής Πολιτείας σε ζητήματα που αφορούν είτε έμμεσα είτε άμεσα στα άτομα με αναπηρ</w:t>
      </w:r>
      <w:r w:rsidR="00C00A75" w:rsidRPr="00FB7212">
        <w:rPr>
          <w:b/>
          <w:color w:val="auto"/>
        </w:rPr>
        <w:t xml:space="preserve">ία, θεωρούμε </w:t>
      </w:r>
      <w:r w:rsidRPr="00FB7212">
        <w:rPr>
          <w:b/>
          <w:color w:val="auto"/>
        </w:rPr>
        <w:t xml:space="preserve">αδιανόητο να μην </w:t>
      </w:r>
      <w:r w:rsidR="00650FA4" w:rsidRPr="00FB7212">
        <w:rPr>
          <w:b/>
          <w:color w:val="auto"/>
        </w:rPr>
        <w:t xml:space="preserve">συμμετέχει </w:t>
      </w:r>
      <w:r w:rsidRPr="00FB7212">
        <w:rPr>
          <w:b/>
          <w:color w:val="auto"/>
        </w:rPr>
        <w:t>εκπρόσωπό</w:t>
      </w:r>
      <w:r w:rsidR="00650FA4" w:rsidRPr="00FB7212">
        <w:rPr>
          <w:b/>
          <w:color w:val="auto"/>
        </w:rPr>
        <w:t>ς</w:t>
      </w:r>
      <w:r w:rsidRPr="00FB7212">
        <w:rPr>
          <w:b/>
          <w:color w:val="auto"/>
        </w:rPr>
        <w:t xml:space="preserve"> της στο Εθνικό Συμβούλιο Χωροταξίας</w:t>
      </w:r>
      <w:r w:rsidR="00650FA4" w:rsidRPr="00FB7212">
        <w:rPr>
          <w:b/>
          <w:color w:val="auto"/>
        </w:rPr>
        <w:t xml:space="preserve">. Η συμμετοχή εκπροσώπου μας θα συμβάλλει </w:t>
      </w:r>
      <w:r w:rsidRPr="00FB7212">
        <w:rPr>
          <w:b/>
          <w:color w:val="auto"/>
        </w:rPr>
        <w:t xml:space="preserve">στη </w:t>
      </w:r>
      <w:r w:rsidR="00817801" w:rsidRPr="00FB7212">
        <w:rPr>
          <w:b/>
          <w:color w:val="auto"/>
        </w:rPr>
        <w:t>ένταξη</w:t>
      </w:r>
      <w:r w:rsidRPr="00FB7212">
        <w:rPr>
          <w:b/>
          <w:color w:val="auto"/>
        </w:rPr>
        <w:t xml:space="preserve"> της διάστασης της αναπηρίας </w:t>
      </w:r>
      <w:r w:rsidR="00C00A75" w:rsidRPr="00FB7212">
        <w:rPr>
          <w:b/>
          <w:color w:val="auto"/>
        </w:rPr>
        <w:t xml:space="preserve">στον </w:t>
      </w:r>
      <w:r w:rsidRPr="00FB7212">
        <w:rPr>
          <w:b/>
          <w:color w:val="auto"/>
        </w:rPr>
        <w:t>χωρικό σχεδιασμ</w:t>
      </w:r>
      <w:r w:rsidR="00650FA4" w:rsidRPr="00FB7212">
        <w:rPr>
          <w:b/>
          <w:color w:val="auto"/>
        </w:rPr>
        <w:t>ό</w:t>
      </w:r>
      <w:r w:rsidR="00171D13">
        <w:rPr>
          <w:b/>
          <w:color w:val="auto"/>
        </w:rPr>
        <w:t xml:space="preserve"> και </w:t>
      </w:r>
      <w:r w:rsidRPr="00FB7212">
        <w:rPr>
          <w:b/>
          <w:color w:val="auto"/>
        </w:rPr>
        <w:t xml:space="preserve">στην προώθηση της κοινωνικής συνοχής. </w:t>
      </w:r>
    </w:p>
    <w:p w:rsidR="0064189D" w:rsidRPr="00FB7212" w:rsidRDefault="00FB7212" w:rsidP="00FC790D">
      <w:pPr>
        <w:rPr>
          <w:b/>
          <w:color w:val="FF0000"/>
        </w:rPr>
      </w:pPr>
      <w:r>
        <w:rPr>
          <w:b/>
          <w:color w:val="auto"/>
        </w:rPr>
        <w:t xml:space="preserve">Επιπρόσθετα, στατιστικά στοιχεία </w:t>
      </w:r>
      <w:r w:rsidRPr="00FB7212">
        <w:rPr>
          <w:b/>
          <w:color w:val="auto"/>
        </w:rPr>
        <w:t>της E.C.M.T. (</w:t>
      </w:r>
      <w:r w:rsidRPr="00FB7212">
        <w:rPr>
          <w:b/>
          <w:i/>
          <w:iCs/>
          <w:color w:val="auto"/>
          <w:lang w:val="en-US"/>
        </w:rPr>
        <w:t>ECMT</w:t>
      </w:r>
      <w:r w:rsidRPr="00FB7212">
        <w:rPr>
          <w:b/>
          <w:i/>
          <w:iCs/>
          <w:color w:val="auto"/>
        </w:rPr>
        <w:t xml:space="preserve">: </w:t>
      </w:r>
      <w:r w:rsidRPr="00FB7212">
        <w:rPr>
          <w:b/>
          <w:i/>
          <w:iCs/>
          <w:color w:val="auto"/>
          <w:lang w:val="en-US"/>
        </w:rPr>
        <w:t>European</w:t>
      </w:r>
      <w:r w:rsidRPr="00FB7212">
        <w:rPr>
          <w:b/>
          <w:i/>
          <w:iCs/>
          <w:color w:val="auto"/>
        </w:rPr>
        <w:t xml:space="preserve"> </w:t>
      </w:r>
      <w:r w:rsidRPr="00FB7212">
        <w:rPr>
          <w:b/>
          <w:i/>
          <w:iCs/>
          <w:color w:val="auto"/>
          <w:lang w:val="en-US"/>
        </w:rPr>
        <w:t>Conference</w:t>
      </w:r>
      <w:r w:rsidRPr="00FB7212">
        <w:rPr>
          <w:b/>
          <w:i/>
          <w:iCs/>
          <w:color w:val="auto"/>
        </w:rPr>
        <w:t xml:space="preserve"> </w:t>
      </w:r>
      <w:r w:rsidRPr="00FB7212">
        <w:rPr>
          <w:b/>
          <w:i/>
          <w:iCs/>
          <w:color w:val="auto"/>
          <w:lang w:val="en-US"/>
        </w:rPr>
        <w:t>of</w:t>
      </w:r>
      <w:r w:rsidRPr="00FB7212">
        <w:rPr>
          <w:b/>
          <w:i/>
          <w:iCs/>
          <w:color w:val="auto"/>
        </w:rPr>
        <w:t xml:space="preserve"> </w:t>
      </w:r>
      <w:r w:rsidRPr="00FB7212">
        <w:rPr>
          <w:b/>
          <w:i/>
          <w:iCs/>
          <w:color w:val="auto"/>
          <w:lang w:val="en-US"/>
        </w:rPr>
        <w:t>Ministers</w:t>
      </w:r>
      <w:r w:rsidRPr="00FB7212">
        <w:rPr>
          <w:b/>
          <w:i/>
          <w:iCs/>
          <w:color w:val="auto"/>
        </w:rPr>
        <w:t xml:space="preserve"> </w:t>
      </w:r>
      <w:r w:rsidRPr="00FB7212">
        <w:rPr>
          <w:b/>
          <w:i/>
          <w:iCs/>
          <w:color w:val="auto"/>
          <w:lang w:val="en-US"/>
        </w:rPr>
        <w:t>of</w:t>
      </w:r>
      <w:r w:rsidRPr="00FB7212">
        <w:rPr>
          <w:b/>
          <w:i/>
          <w:iCs/>
          <w:color w:val="auto"/>
        </w:rPr>
        <w:t xml:space="preserve"> </w:t>
      </w:r>
      <w:r w:rsidRPr="00FB7212">
        <w:rPr>
          <w:b/>
          <w:i/>
          <w:iCs/>
          <w:color w:val="auto"/>
          <w:lang w:val="en-US"/>
        </w:rPr>
        <w:t>Transport</w:t>
      </w:r>
      <w:r w:rsidRPr="00FB7212">
        <w:rPr>
          <w:b/>
          <w:i/>
          <w:iCs/>
          <w:color w:val="auto"/>
        </w:rPr>
        <w:t xml:space="preserve">) </w:t>
      </w:r>
      <w:r w:rsidRPr="00FB7212">
        <w:rPr>
          <w:b/>
          <w:color w:val="auto"/>
        </w:rPr>
        <w:t> αναφέρουν ότι τα άτομα ηλικίας άνω των 65 ετών (με ανάγκες παρόμοιες με τα άτομα με αναπηρία) μέχρι το 2050 θα ανέρχονται στο 30 - 40% των πολιτών. Η δημογραφική αυτή εξέλιξη επιτείνει την ανάγκη</w:t>
      </w:r>
      <w:r w:rsidR="00171D13">
        <w:rPr>
          <w:b/>
          <w:color w:val="auto"/>
        </w:rPr>
        <w:t xml:space="preserve"> ένταξης της διάστασης της αναπηρίας στον χωρικό σχεδιασμό</w:t>
      </w:r>
      <w:r w:rsidR="004979A9">
        <w:rPr>
          <w:b/>
          <w:color w:val="auto"/>
        </w:rPr>
        <w:t xml:space="preserve">. </w:t>
      </w:r>
    </w:p>
    <w:p w:rsidR="00FC790D" w:rsidRPr="00C57F1E" w:rsidRDefault="00062826" w:rsidP="00210510">
      <w:pPr>
        <w:spacing w:after="0"/>
        <w:rPr>
          <w:b/>
        </w:rPr>
      </w:pPr>
      <w:r>
        <w:rPr>
          <w:b/>
        </w:rPr>
        <w:t>3) Μετά το εδάφιο η</w:t>
      </w:r>
      <w:r w:rsidR="00C57F1E">
        <w:rPr>
          <w:b/>
        </w:rPr>
        <w:t xml:space="preserve">) της </w:t>
      </w:r>
      <w:r w:rsidR="00C57F1E" w:rsidRPr="00C57F1E">
        <w:rPr>
          <w:b/>
        </w:rPr>
        <w:t xml:space="preserve">παρ. 1 του άρθρου </w:t>
      </w:r>
      <w:r w:rsidR="00FC790D" w:rsidRPr="00C57F1E">
        <w:rPr>
          <w:b/>
        </w:rPr>
        <w:t>6</w:t>
      </w:r>
      <w:r w:rsidR="0064189D" w:rsidRPr="00C57F1E">
        <w:rPr>
          <w:b/>
        </w:rPr>
        <w:t xml:space="preserve"> «</w:t>
      </w:r>
      <w:r w:rsidR="00FC790D" w:rsidRPr="00C57F1E">
        <w:rPr>
          <w:b/>
        </w:rPr>
        <w:t>Περιφερειακά Χωροταξικά Πλαίσια (Π.Χ.Π.)</w:t>
      </w:r>
      <w:r w:rsidR="0064189D" w:rsidRPr="00C57F1E">
        <w:rPr>
          <w:b/>
        </w:rPr>
        <w:t>» να συμπληρωθεί</w:t>
      </w:r>
      <w:r>
        <w:rPr>
          <w:b/>
        </w:rPr>
        <w:t xml:space="preserve"> εδάφιο </w:t>
      </w:r>
      <w:r w:rsidR="00C57F1E">
        <w:rPr>
          <w:b/>
        </w:rPr>
        <w:t>θ)</w:t>
      </w:r>
      <w:r w:rsidR="0064189D" w:rsidRPr="00C57F1E">
        <w:rPr>
          <w:b/>
        </w:rPr>
        <w:t xml:space="preserve"> ως ακολούθως (βλ. με έντονη γραμματοσειρά): </w:t>
      </w:r>
    </w:p>
    <w:p w:rsidR="00FC790D" w:rsidRPr="00C57F1E" w:rsidRDefault="00210510" w:rsidP="00C57F1E">
      <w:pPr>
        <w:spacing w:after="0"/>
        <w:rPr>
          <w:i/>
        </w:rPr>
      </w:pPr>
      <w:r>
        <w:t>«</w:t>
      </w:r>
      <w:r w:rsidR="00FC790D" w:rsidRPr="00C57F1E">
        <w:rPr>
          <w:i/>
        </w:rPr>
        <w:t>1. α) Τα Περιφερειακά Χωροταξικά Πλαίσια αποτελούν σύνολα κειμένων, χαρτών ή και διαγραμμάτων, με τα οποία παρέχονται, κατευθύνσεις χωρικής ανάπτυξης και οργάνωσης σε περιφερειακό επίπεδο, ιδίως, για:</w:t>
      </w:r>
    </w:p>
    <w:p w:rsidR="00FC790D" w:rsidRPr="00C57F1E" w:rsidRDefault="00062826" w:rsidP="00C57F1E">
      <w:pPr>
        <w:spacing w:after="0"/>
        <w:rPr>
          <w:i/>
        </w:rPr>
      </w:pPr>
      <w:r>
        <w:rPr>
          <w:i/>
        </w:rPr>
        <w:t>α</w:t>
      </w:r>
      <w:r w:rsidR="00FC790D" w:rsidRPr="00C57F1E">
        <w:rPr>
          <w:i/>
        </w:rPr>
        <w:t>) την αποτίμηση, ανάδειξη και αξιοποίηση των ιδιαίτερων αναπτυξιακών και γενικότερα χωρικών χαρακτηριστικών κάθε Περιφέρειας γι</w:t>
      </w:r>
      <w:r>
        <w:rPr>
          <w:i/>
        </w:rPr>
        <w:t>α την ισότιμη ένταξή</w:t>
      </w:r>
      <w:r w:rsidR="00FC790D" w:rsidRPr="00C57F1E">
        <w:rPr>
          <w:i/>
        </w:rPr>
        <w:t xml:space="preserve"> της στον </w:t>
      </w:r>
      <w:r>
        <w:rPr>
          <w:i/>
        </w:rPr>
        <w:t xml:space="preserve"> εθνικό, ενωσιακό και διεθνή</w:t>
      </w:r>
      <w:r w:rsidR="00FC790D" w:rsidRPr="00C57F1E">
        <w:rPr>
          <w:i/>
        </w:rPr>
        <w:t>,</w:t>
      </w:r>
      <w:r w:rsidR="00210510" w:rsidRPr="00C57F1E">
        <w:rPr>
          <w:i/>
        </w:rPr>
        <w:t xml:space="preserve"> [….]</w:t>
      </w:r>
    </w:p>
    <w:p w:rsidR="00FC790D" w:rsidRPr="00C57F1E" w:rsidRDefault="00062826" w:rsidP="00C57F1E">
      <w:pPr>
        <w:spacing w:after="0"/>
        <w:rPr>
          <w:i/>
        </w:rPr>
      </w:pPr>
      <w:r>
        <w:rPr>
          <w:i/>
        </w:rPr>
        <w:t>η</w:t>
      </w:r>
      <w:r w:rsidR="00FC790D" w:rsidRPr="00C57F1E">
        <w:rPr>
          <w:i/>
        </w:rPr>
        <w:t>) την προστασία του πολιτιστικού και φυσικού τοπίου.</w:t>
      </w:r>
    </w:p>
    <w:p w:rsidR="00FC790D" w:rsidRDefault="00FC790D" w:rsidP="00C00A75">
      <w:pPr>
        <w:spacing w:after="0"/>
        <w:rPr>
          <w:i/>
        </w:rPr>
      </w:pPr>
      <w:r w:rsidRPr="00C57F1E">
        <w:rPr>
          <w:b/>
          <w:i/>
        </w:rPr>
        <w:t>θ) την άρση των πάσης φύσεως</w:t>
      </w:r>
      <w:r w:rsidR="009C2CE1">
        <w:rPr>
          <w:b/>
          <w:i/>
        </w:rPr>
        <w:t xml:space="preserve"> εμποδ</w:t>
      </w:r>
      <w:r w:rsidR="00CA760E">
        <w:rPr>
          <w:b/>
          <w:i/>
        </w:rPr>
        <w:t>ίων και αποκλεισμών, ιδιαιτέρως</w:t>
      </w:r>
      <w:r w:rsidR="009C2CE1">
        <w:rPr>
          <w:b/>
          <w:i/>
        </w:rPr>
        <w:t xml:space="preserve"> </w:t>
      </w:r>
      <w:r w:rsidR="00CA760E">
        <w:rPr>
          <w:b/>
          <w:i/>
        </w:rPr>
        <w:t xml:space="preserve">σε βάρος </w:t>
      </w:r>
      <w:r w:rsidR="009C2CE1">
        <w:rPr>
          <w:b/>
          <w:i/>
        </w:rPr>
        <w:t>των ατόμων με αναπηρία</w:t>
      </w:r>
      <w:r w:rsidR="00CA760E">
        <w:rPr>
          <w:b/>
          <w:i/>
        </w:rPr>
        <w:t>, με στόχο τη</w:t>
      </w:r>
      <w:r w:rsidRPr="00C57F1E">
        <w:rPr>
          <w:b/>
          <w:i/>
        </w:rPr>
        <w:t xml:space="preserve"> δημιουργία συνεκτικών </w:t>
      </w:r>
      <w:r w:rsidR="009C2CE1">
        <w:rPr>
          <w:b/>
          <w:i/>
        </w:rPr>
        <w:t xml:space="preserve">και προσβάσιμων </w:t>
      </w:r>
      <w:r w:rsidRPr="00C57F1E">
        <w:rPr>
          <w:b/>
          <w:i/>
        </w:rPr>
        <w:t>Περιφερειών</w:t>
      </w:r>
      <w:r w:rsidR="0064189D" w:rsidRPr="00C57F1E">
        <w:rPr>
          <w:b/>
          <w:i/>
        </w:rPr>
        <w:t xml:space="preserve"> […]</w:t>
      </w:r>
      <w:r w:rsidR="00210510" w:rsidRPr="00C57F1E">
        <w:rPr>
          <w:b/>
          <w:i/>
        </w:rPr>
        <w:t>»</w:t>
      </w:r>
      <w:r w:rsidR="00C00A75">
        <w:rPr>
          <w:i/>
        </w:rPr>
        <w:t>.</w:t>
      </w:r>
    </w:p>
    <w:p w:rsidR="00C00A75" w:rsidRPr="00C00A75" w:rsidRDefault="00C00A75" w:rsidP="00C00A75">
      <w:pPr>
        <w:spacing w:after="0"/>
        <w:rPr>
          <w:i/>
        </w:rPr>
      </w:pPr>
    </w:p>
    <w:p w:rsidR="00FC790D" w:rsidRPr="00C57F1E" w:rsidRDefault="00C57F1E" w:rsidP="00C00A75">
      <w:pPr>
        <w:spacing w:after="0"/>
        <w:rPr>
          <w:b/>
        </w:rPr>
      </w:pPr>
      <w:r w:rsidRPr="00C57F1E">
        <w:rPr>
          <w:b/>
        </w:rPr>
        <w:t xml:space="preserve">4) </w:t>
      </w:r>
      <w:r>
        <w:rPr>
          <w:b/>
        </w:rPr>
        <w:t xml:space="preserve">Η παρ. 1 του άρθρου </w:t>
      </w:r>
      <w:r w:rsidR="00FC790D" w:rsidRPr="00C57F1E">
        <w:rPr>
          <w:b/>
        </w:rPr>
        <w:t>7</w:t>
      </w:r>
      <w:r w:rsidRPr="00C57F1E">
        <w:rPr>
          <w:b/>
        </w:rPr>
        <w:t xml:space="preserve"> </w:t>
      </w:r>
      <w:r w:rsidRPr="00C57F1E">
        <w:rPr>
          <w:b/>
          <w:i/>
        </w:rPr>
        <w:t>«</w:t>
      </w:r>
      <w:r w:rsidR="00FC790D" w:rsidRPr="00C57F1E">
        <w:rPr>
          <w:b/>
          <w:i/>
        </w:rPr>
        <w:t>Τοπικά Χωρικά Σχέδια (Τ.Χ.Σ)</w:t>
      </w:r>
      <w:r w:rsidRPr="00C57F1E">
        <w:rPr>
          <w:b/>
          <w:i/>
        </w:rPr>
        <w:t>»</w:t>
      </w:r>
      <w:r w:rsidRPr="00C57F1E">
        <w:rPr>
          <w:b/>
        </w:rPr>
        <w:t xml:space="preserve"> να συμπληρωθεί ως ακολούθως (βλ. με έντονη γραμματοσειρά): </w:t>
      </w:r>
    </w:p>
    <w:p w:rsidR="00C00A75" w:rsidRPr="00C00A75" w:rsidRDefault="00C57F1E" w:rsidP="00C00A75">
      <w:pPr>
        <w:spacing w:after="120"/>
        <w:rPr>
          <w:i/>
        </w:rPr>
      </w:pPr>
      <w:r>
        <w:rPr>
          <w:i/>
        </w:rPr>
        <w:t>«</w:t>
      </w:r>
      <w:r w:rsidR="00FC790D" w:rsidRPr="00C57F1E">
        <w:rPr>
          <w:i/>
        </w:rPr>
        <w:t xml:space="preserve">1. Τα Τοπικά Χωρικά Σχέδια αποτελούν σύνολα κειμένων, χαρτών και διαγραμμάτων με τα οποία καθορίζονται το πρότυπο χωρικής οργάνωσης και ανάπτυξης, οι χρήσεις γης, οι όροι και περιορισμοί δόμησης, καθώς και κάθε άλλο μέτρο, όρος ή περιορισμός που απαιτείται για την ολοκληρωμένη χωρική ανάπτυξη και οργάνωση της περιοχής ενός πρωτοβαθμίου ΟΤΑ </w:t>
      </w:r>
      <w:r w:rsidR="00FC790D" w:rsidRPr="00C57F1E">
        <w:rPr>
          <w:b/>
          <w:i/>
        </w:rPr>
        <w:t xml:space="preserve">στη βάση </w:t>
      </w:r>
      <w:r w:rsidR="00BC4932">
        <w:rPr>
          <w:b/>
          <w:i/>
        </w:rPr>
        <w:t xml:space="preserve">της </w:t>
      </w:r>
      <w:r w:rsidR="00FC790D" w:rsidRPr="00C57F1E">
        <w:rPr>
          <w:b/>
          <w:i/>
        </w:rPr>
        <w:t xml:space="preserve">διασφάλισης της εδαφικής και κοινωνικής συνοχής, της δίκαιης κατανομής πόρων και της άρσης των πάσης φύσεως </w:t>
      </w:r>
      <w:r w:rsidR="009C2CE1">
        <w:rPr>
          <w:b/>
          <w:i/>
        </w:rPr>
        <w:t xml:space="preserve">εμποδίων, απροσπέλαστων περιβαλλόντων και </w:t>
      </w:r>
      <w:r w:rsidR="00FC790D" w:rsidRPr="00C57F1E">
        <w:rPr>
          <w:b/>
          <w:i/>
        </w:rPr>
        <w:t xml:space="preserve">αποκλεισμών, </w:t>
      </w:r>
      <w:r w:rsidR="00CA760E">
        <w:rPr>
          <w:b/>
          <w:i/>
        </w:rPr>
        <w:t xml:space="preserve">ιδιαιτέρως </w:t>
      </w:r>
      <w:r w:rsidR="00FC790D" w:rsidRPr="00C57F1E">
        <w:rPr>
          <w:b/>
          <w:i/>
        </w:rPr>
        <w:t xml:space="preserve">σε βάρος </w:t>
      </w:r>
      <w:r w:rsidR="009C2CE1">
        <w:rPr>
          <w:b/>
          <w:i/>
        </w:rPr>
        <w:t>των ατόμων με αναπηρία</w:t>
      </w:r>
      <w:r>
        <w:rPr>
          <w:i/>
        </w:rPr>
        <w:t xml:space="preserve">, </w:t>
      </w:r>
      <w:r w:rsidR="00FC790D">
        <w:t>[…]</w:t>
      </w:r>
    </w:p>
    <w:p w:rsidR="00FC790D" w:rsidRPr="00C57F1E" w:rsidRDefault="00C57F1E" w:rsidP="00C00A75">
      <w:pPr>
        <w:spacing w:after="120"/>
        <w:rPr>
          <w:b/>
        </w:rPr>
      </w:pPr>
      <w:r w:rsidRPr="00C57F1E">
        <w:rPr>
          <w:b/>
        </w:rPr>
        <w:t xml:space="preserve">5) Η παρ. 2 του άρθρου </w:t>
      </w:r>
      <w:r w:rsidR="00FC790D" w:rsidRPr="00C57F1E">
        <w:rPr>
          <w:b/>
        </w:rPr>
        <w:t>8</w:t>
      </w:r>
      <w:r w:rsidRPr="00C57F1E">
        <w:rPr>
          <w:b/>
        </w:rPr>
        <w:t xml:space="preserve"> </w:t>
      </w:r>
      <w:r w:rsidRPr="00C57F1E">
        <w:rPr>
          <w:b/>
          <w:i/>
        </w:rPr>
        <w:t>«</w:t>
      </w:r>
      <w:r w:rsidR="00FC790D" w:rsidRPr="00C57F1E">
        <w:rPr>
          <w:b/>
          <w:i/>
        </w:rPr>
        <w:t>Ειδικά Χωρικά Σχέδια</w:t>
      </w:r>
      <w:r w:rsidRPr="00C57F1E">
        <w:rPr>
          <w:b/>
          <w:i/>
        </w:rPr>
        <w:t>»</w:t>
      </w:r>
      <w:r w:rsidRPr="00C57F1E">
        <w:rPr>
          <w:b/>
        </w:rPr>
        <w:t xml:space="preserve"> να συμπληρωθεί ως ακολούθως (βλ. με έντονη γραμματοσειρά): </w:t>
      </w:r>
    </w:p>
    <w:p w:rsidR="00FC790D" w:rsidRPr="00C00A75" w:rsidRDefault="00C57F1E" w:rsidP="00FC790D">
      <w:pPr>
        <w:rPr>
          <w:i/>
        </w:rPr>
      </w:pPr>
      <w:r w:rsidRPr="00C00A75">
        <w:rPr>
          <w:i/>
        </w:rPr>
        <w:t>«</w:t>
      </w:r>
      <w:r w:rsidR="00C00A75">
        <w:rPr>
          <w:i/>
        </w:rPr>
        <w:t xml:space="preserve">[…] </w:t>
      </w:r>
      <w:r w:rsidR="00FC790D" w:rsidRPr="00C00A75">
        <w:rPr>
          <w:i/>
        </w:rPr>
        <w:t xml:space="preserve">2. Τα Ε.Χ.Σ αποτελούν σύνολα κειμένων, χαρτών και διαγραμμάτων με τα οποία καθορίζονται χρήσεις γης, γενικοί όροι και περιορισμοί δόμησης καθώς και κάθε άλλο μέτρο, όρος ή περιορισμός </w:t>
      </w:r>
      <w:r w:rsidR="00FC790D" w:rsidRPr="00C00A75">
        <w:rPr>
          <w:b/>
          <w:i/>
        </w:rPr>
        <w:lastRenderedPageBreak/>
        <w:t xml:space="preserve">στη βάση διασφάλισης της εδαφικής και κοινωνικής συνοχής και της άρσης των πάσης φύσεως αποκλεισμών, </w:t>
      </w:r>
      <w:r w:rsidR="00CA760E">
        <w:rPr>
          <w:b/>
          <w:i/>
        </w:rPr>
        <w:t xml:space="preserve">ιδιαιτέρως </w:t>
      </w:r>
      <w:r w:rsidR="00FC790D" w:rsidRPr="00C00A75">
        <w:rPr>
          <w:b/>
          <w:i/>
        </w:rPr>
        <w:t>σε βάρος</w:t>
      </w:r>
      <w:r w:rsidR="00CA760E">
        <w:rPr>
          <w:b/>
          <w:i/>
        </w:rPr>
        <w:t xml:space="preserve"> των ατόμων με αναπηρία</w:t>
      </w:r>
      <w:r w:rsidR="00FC790D" w:rsidRPr="00C00A75">
        <w:rPr>
          <w:b/>
          <w:i/>
        </w:rPr>
        <w:t>,</w:t>
      </w:r>
      <w:r w:rsidR="00FC790D" w:rsidRPr="00C00A75">
        <w:rPr>
          <w:i/>
        </w:rPr>
        <w:t xml:space="preserve"> που απαιτείται ώστε να καταστούν οι εν λόγω περιοχές κατάλληλες είτε για τη δημιουργία οργανωμένων υποδοχέων δραστηριοτήτων είτε για την πραγματοποίηση προγραμμάτων και παρεμβάσεων της παρ. 1 του παρόντος άρθρου. […]</w:t>
      </w:r>
      <w:r w:rsidR="00C00A75">
        <w:rPr>
          <w:i/>
        </w:rPr>
        <w:t xml:space="preserve">» </w:t>
      </w:r>
    </w:p>
    <w:p w:rsidR="00FC790D" w:rsidRPr="00C00A75" w:rsidRDefault="00C00A75" w:rsidP="00C00A75">
      <w:pPr>
        <w:spacing w:after="0"/>
        <w:rPr>
          <w:b/>
        </w:rPr>
      </w:pPr>
      <w:r w:rsidRPr="00C00A75">
        <w:rPr>
          <w:b/>
        </w:rPr>
        <w:t xml:space="preserve">6) Η παρ. 1 του άρθρου </w:t>
      </w:r>
      <w:r w:rsidR="00FC790D" w:rsidRPr="00C00A75">
        <w:rPr>
          <w:b/>
        </w:rPr>
        <w:t>10</w:t>
      </w:r>
      <w:r w:rsidRPr="00C00A75">
        <w:rPr>
          <w:b/>
        </w:rPr>
        <w:t xml:space="preserve"> </w:t>
      </w:r>
      <w:r w:rsidRPr="00C00A75">
        <w:rPr>
          <w:b/>
          <w:i/>
        </w:rPr>
        <w:t>«</w:t>
      </w:r>
      <w:r w:rsidR="00FC790D" w:rsidRPr="00C00A75">
        <w:rPr>
          <w:b/>
          <w:i/>
        </w:rPr>
        <w:t>Πολεοδομικά Σχέδια Εφαρμογής</w:t>
      </w:r>
      <w:r w:rsidRPr="00C00A75">
        <w:rPr>
          <w:b/>
          <w:i/>
        </w:rPr>
        <w:t xml:space="preserve">» </w:t>
      </w:r>
      <w:r w:rsidRPr="00C00A75">
        <w:rPr>
          <w:b/>
        </w:rPr>
        <w:t>να συμπληρωθεί ως ακολούθως (βλ. με έντονη γραμματοσειρά):</w:t>
      </w:r>
    </w:p>
    <w:p w:rsidR="00C00A75" w:rsidRPr="00C00A75" w:rsidRDefault="00C00A75" w:rsidP="00C00A75">
      <w:pPr>
        <w:spacing w:after="120"/>
        <w:rPr>
          <w:i/>
        </w:rPr>
      </w:pPr>
      <w:r w:rsidRPr="00C00A75">
        <w:rPr>
          <w:i/>
        </w:rPr>
        <w:t>«</w:t>
      </w:r>
      <w:r w:rsidR="00FC790D" w:rsidRPr="00C00A75">
        <w:rPr>
          <w:i/>
        </w:rPr>
        <w:t xml:space="preserve">1. Για την πολεοδόμηση ορισμένης περιοχής απαιτείται η σύνταξη και έγκριση Πολεοδομικού Σχεδίου Εφαρμογής το οποίο περιλαμβάνει το Πολεοδομικό Σχέδιο και Πράξη Εφαρμογής. Με τα σχέδια αυτά εξειδικεύονται, σε κλίμακα πόλης ή οικισμού ή τμημάτων αυτών ή σε ζώνες και περιοχές ειδικών χρήσεων, οι ρυθμίσεις των Τοπικών ή Ειδικών Χωρικών Σχεδίων περί χρήσεων γης και όρων δόμησης και καθορίζονται επακριβώς οι κοινόχρηστοι, κοινωφελείς και οικοδομήσιμοι χώροι της προς πολεοδόμηση περιοχής καθώς και τα διαγράμματα των δικτύων υποδομής, τα οποία </w:t>
      </w:r>
      <w:r w:rsidR="00FC790D" w:rsidRPr="00C00A75">
        <w:rPr>
          <w:b/>
          <w:i/>
        </w:rPr>
        <w:t xml:space="preserve">σε κάθε περίπτωση ικανοποιούν τις ανάγκες </w:t>
      </w:r>
      <w:r w:rsidR="00CA760E">
        <w:rPr>
          <w:b/>
          <w:i/>
        </w:rPr>
        <w:t>των ατόμων με αναπηρία</w:t>
      </w:r>
      <w:r w:rsidRPr="00C00A75">
        <w:rPr>
          <w:b/>
          <w:i/>
        </w:rPr>
        <w:t xml:space="preserve"> […]»</w:t>
      </w:r>
      <w:r w:rsidR="00FC790D" w:rsidRPr="00C00A75">
        <w:rPr>
          <w:b/>
          <w:i/>
        </w:rPr>
        <w:t>.</w:t>
      </w:r>
    </w:p>
    <w:p w:rsidR="00FC790D" w:rsidRPr="00C00A75" w:rsidRDefault="00C00A75" w:rsidP="00C00A75">
      <w:pPr>
        <w:spacing w:after="120"/>
        <w:rPr>
          <w:b/>
        </w:rPr>
      </w:pPr>
      <w:r>
        <w:rPr>
          <w:b/>
        </w:rPr>
        <w:t xml:space="preserve">7) Η παρ. 7 του άρθρου </w:t>
      </w:r>
      <w:r w:rsidR="00FC790D" w:rsidRPr="00C00A75">
        <w:rPr>
          <w:b/>
        </w:rPr>
        <w:t>11</w:t>
      </w:r>
      <w:r>
        <w:rPr>
          <w:b/>
        </w:rPr>
        <w:t xml:space="preserve"> «</w:t>
      </w:r>
      <w:r w:rsidR="00FC790D" w:rsidRPr="00C00A75">
        <w:rPr>
          <w:b/>
        </w:rPr>
        <w:t>Κωδικοποίηση διατάξεων χωροταξίας και πολεοδομίας</w:t>
      </w:r>
      <w:r>
        <w:rPr>
          <w:b/>
        </w:rPr>
        <w:t xml:space="preserve">» να συμπληρωθεί ως ακολούθως (βλ. με έντονη γραμματοσειρά): </w:t>
      </w:r>
    </w:p>
    <w:p w:rsidR="00FC790D" w:rsidRPr="00C00A75" w:rsidRDefault="00C00A75" w:rsidP="00FC790D">
      <w:pPr>
        <w:rPr>
          <w:i/>
        </w:rPr>
      </w:pPr>
      <w:r w:rsidRPr="00C00A75">
        <w:rPr>
          <w:i/>
        </w:rPr>
        <w:t xml:space="preserve">«[…] </w:t>
      </w:r>
      <w:r w:rsidR="00FC790D" w:rsidRPr="00C00A75">
        <w:rPr>
          <w:i/>
        </w:rPr>
        <w:t xml:space="preserve">7. </w:t>
      </w:r>
      <w:r w:rsidR="00BC4932">
        <w:rPr>
          <w:i/>
        </w:rPr>
        <w:t xml:space="preserve">Ο </w:t>
      </w:r>
      <w:r w:rsidR="00FC790D" w:rsidRPr="00C00A75">
        <w:rPr>
          <w:i/>
        </w:rPr>
        <w:t xml:space="preserve">κώδικας καταρτίζεται σε ηλεκτρονική βάση, </w:t>
      </w:r>
      <w:r w:rsidR="00FC790D" w:rsidRPr="00C00A75">
        <w:rPr>
          <w:b/>
          <w:i/>
        </w:rPr>
        <w:t>η οποία θα είναι σύμφωνη με τις απαιτήσεις της Υπουργικής Απόφασης με Αριθ. ΥΑΠ/Φ.40.4/1/989 Κύρωση Πλαισίου Παροχής Υπηρεσιών Ηλεκτρονικής Διακυβέρνησης (ΦΕΚ 1301 Β/ 12.04.2016),</w:t>
      </w:r>
      <w:r w:rsidR="00FC790D" w:rsidRPr="00C00A75">
        <w:rPr>
          <w:i/>
        </w:rPr>
        <w:t xml:space="preserve"> και ορίζονται οι εξουσιοδοτικές διατάξεις για τα αρμόδια όργανα, τη διαδικασία ενημέρωσης, επικαιροποίησης και έγκρισης της τροποποίησης του</w:t>
      </w:r>
      <w:r>
        <w:rPr>
          <w:i/>
        </w:rPr>
        <w:t xml:space="preserve"> […]»</w:t>
      </w:r>
      <w:r w:rsidR="00FC790D" w:rsidRPr="00C00A75">
        <w:rPr>
          <w:i/>
        </w:rPr>
        <w:t>.</w:t>
      </w:r>
    </w:p>
    <w:p w:rsidR="00FC790D" w:rsidRDefault="00C00A75" w:rsidP="00B2683A">
      <w:pPr>
        <w:tabs>
          <w:tab w:val="left" w:pos="0"/>
        </w:tabs>
        <w:rPr>
          <w:b/>
          <w:i/>
        </w:rPr>
      </w:pPr>
      <w:r w:rsidRPr="00C00A75">
        <w:rPr>
          <w:b/>
          <w:i/>
        </w:rPr>
        <w:t>Αξιότιμε κύριε</w:t>
      </w:r>
      <w:r w:rsidR="00BC4932">
        <w:rPr>
          <w:b/>
          <w:i/>
        </w:rPr>
        <w:t xml:space="preserve"> Πρόεδρε</w:t>
      </w:r>
      <w:r w:rsidRPr="00C00A75">
        <w:rPr>
          <w:b/>
          <w:i/>
        </w:rPr>
        <w:t>,</w:t>
      </w:r>
    </w:p>
    <w:p w:rsidR="00BC4932" w:rsidRDefault="00BC4932" w:rsidP="00B2683A">
      <w:pPr>
        <w:tabs>
          <w:tab w:val="left" w:pos="0"/>
        </w:tabs>
        <w:rPr>
          <w:b/>
          <w:i/>
        </w:rPr>
      </w:pPr>
      <w:r>
        <w:rPr>
          <w:b/>
          <w:i/>
        </w:rPr>
        <w:t xml:space="preserve">Αξιότιμε Μέλη, </w:t>
      </w:r>
    </w:p>
    <w:p w:rsidR="00C00A75" w:rsidRPr="00C00A75" w:rsidRDefault="00C00A75" w:rsidP="00B2683A">
      <w:pPr>
        <w:tabs>
          <w:tab w:val="left" w:pos="0"/>
        </w:tabs>
      </w:pPr>
      <w:r w:rsidRPr="00C00A75">
        <w:t xml:space="preserve">Ελπίζοντας ότι θα ανταποκριθείτε θετικά στα προαναφερθέντα </w:t>
      </w:r>
      <w:r w:rsidR="004979A9">
        <w:t xml:space="preserve">αιτήματά μας. </w:t>
      </w:r>
      <w:r w:rsidRPr="00C00A75">
        <w:t xml:space="preserve"> </w:t>
      </w:r>
    </w:p>
    <w:p w:rsidR="00FC790D" w:rsidRDefault="00FC790D" w:rsidP="00B2683A">
      <w:pPr>
        <w:tabs>
          <w:tab w:val="left" w:pos="0"/>
        </w:tabs>
      </w:pPr>
    </w:p>
    <w:p w:rsidR="00E70687" w:rsidRPr="00E70687" w:rsidRDefault="00E70687" w:rsidP="00C00A75">
      <w:pPr>
        <w:jc w:val="center"/>
        <w:rPr>
          <w:b/>
        </w:rPr>
      </w:pPr>
      <w:r w:rsidRPr="00E70687">
        <w:rPr>
          <w:b/>
        </w:rPr>
        <w:t>Με εκτίμηση</w:t>
      </w:r>
    </w:p>
    <w:p w:rsidR="00E70687" w:rsidRPr="00E70687" w:rsidRDefault="00E70687" w:rsidP="00E70687">
      <w:pPr>
        <w:jc w:val="center"/>
        <w:rPr>
          <w:b/>
        </w:rPr>
        <w:sectPr w:rsidR="00E70687" w:rsidRPr="00E70687" w:rsidSect="004979A9">
          <w:headerReference w:type="default" r:id="rId13"/>
          <w:footerReference w:type="default" r:id="rId14"/>
          <w:type w:val="continuous"/>
          <w:pgSz w:w="11906" w:h="16838"/>
          <w:pgMar w:top="1440" w:right="1416" w:bottom="1440" w:left="1276"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3C28E6" w:rsidRPr="00E70687" w:rsidRDefault="00E70687" w:rsidP="00484496">
      <w:pPr>
        <w:jc w:val="center"/>
        <w:rPr>
          <w:b/>
        </w:rPr>
      </w:pPr>
      <w:r w:rsidRPr="00E70687">
        <w:rPr>
          <w:b/>
        </w:rPr>
        <w:br w:type="column"/>
      </w:r>
      <w:r w:rsidRPr="00E70687">
        <w:rPr>
          <w:b/>
        </w:rPr>
        <w:t>Ο ΓΕΝ. ΓΡΑΜΜΑΤΕΑΣ</w:t>
      </w:r>
      <w:r w:rsidR="009E4AE9">
        <w:rPr>
          <w:b/>
        </w:rPr>
        <w:t xml:space="preserve"> </w:t>
      </w:r>
    </w:p>
    <w:p w:rsidR="00484496" w:rsidRDefault="00484496" w:rsidP="00E70687">
      <w:pPr>
        <w:jc w:val="center"/>
        <w:rPr>
          <w:b/>
        </w:rPr>
      </w:pPr>
    </w:p>
    <w:p w:rsidR="00FA0AC5" w:rsidRDefault="00E70687" w:rsidP="00FA0AC5">
      <w:pPr>
        <w:jc w:val="center"/>
        <w:rPr>
          <w:b/>
        </w:rPr>
      </w:pPr>
      <w:r w:rsidRPr="00E70687">
        <w:rPr>
          <w:b/>
        </w:rPr>
        <w:t>ΧΡ. ΝΑΣΤΑΣ</w:t>
      </w:r>
    </w:p>
    <w:p w:rsidR="00D036A8" w:rsidRDefault="00D036A8" w:rsidP="00FA0AC5">
      <w:pPr>
        <w:rPr>
          <w:b/>
        </w:rPr>
        <w:sectPr w:rsidR="00D036A8" w:rsidSect="002B6192">
          <w:type w:val="continuous"/>
          <w:pgSz w:w="11906" w:h="16838"/>
          <w:pgMar w:top="1440" w:right="1841" w:bottom="1440" w:left="1800" w:header="709" w:footer="370" w:gutter="0"/>
          <w:cols w:num="2" w:space="708"/>
          <w:docGrid w:linePitch="360"/>
        </w:sectPr>
      </w:pPr>
    </w:p>
    <w:p w:rsidR="00B816B7" w:rsidRDefault="00B816B7" w:rsidP="00707175">
      <w:pPr>
        <w:spacing w:after="0" w:line="240" w:lineRule="auto"/>
      </w:pPr>
    </w:p>
    <w:p w:rsidR="00750F6F" w:rsidRDefault="00750F6F" w:rsidP="00707175">
      <w:pPr>
        <w:spacing w:after="0" w:line="240" w:lineRule="auto"/>
      </w:pPr>
    </w:p>
    <w:p w:rsidR="00750F6F" w:rsidRDefault="00750F6F" w:rsidP="00707175">
      <w:pPr>
        <w:spacing w:after="0" w:line="240" w:lineRule="auto"/>
      </w:pPr>
    </w:p>
    <w:p w:rsidR="00750F6F" w:rsidRPr="00750F6F" w:rsidRDefault="00750F6F" w:rsidP="00707175">
      <w:pPr>
        <w:spacing w:after="0" w:line="240" w:lineRule="auto"/>
        <w:rPr>
          <w:b/>
          <w:u w:val="single"/>
        </w:rPr>
      </w:pPr>
    </w:p>
    <w:sectPr w:rsidR="00750F6F" w:rsidRPr="00750F6F"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0E" w:rsidRDefault="000D120E" w:rsidP="00A5663B">
      <w:pPr>
        <w:spacing w:after="0" w:line="240" w:lineRule="auto"/>
      </w:pPr>
      <w:r>
        <w:separator/>
      </w:r>
    </w:p>
  </w:endnote>
  <w:endnote w:type="continuationSeparator" w:id="0">
    <w:p w:rsidR="000D120E" w:rsidRDefault="000D120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21002A87" w:usb1="00000000" w:usb2="00000000"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6" name="Εικόνα 6"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0E" w:rsidRDefault="000D120E" w:rsidP="00A5663B">
      <w:pPr>
        <w:spacing w:after="0" w:line="240" w:lineRule="auto"/>
      </w:pPr>
      <w:r>
        <w:separator/>
      </w:r>
    </w:p>
  </w:footnote>
  <w:footnote w:type="continuationSeparator" w:id="0">
    <w:p w:rsidR="000D120E" w:rsidRDefault="000D120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E0114">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401"/>
    <w:multiLevelType w:val="hybridMultilevel"/>
    <w:tmpl w:val="CD8E65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861C78"/>
    <w:multiLevelType w:val="hybridMultilevel"/>
    <w:tmpl w:val="C902075A"/>
    <w:lvl w:ilvl="0" w:tplc="E2684BC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423B9E"/>
    <w:multiLevelType w:val="hybridMultilevel"/>
    <w:tmpl w:val="BB0AE8C6"/>
    <w:lvl w:ilvl="0" w:tplc="3C584CDA">
      <w:start w:val="1"/>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30277E2"/>
    <w:multiLevelType w:val="hybridMultilevel"/>
    <w:tmpl w:val="27DA5128"/>
    <w:lvl w:ilvl="0" w:tplc="D94023EC">
      <w:start w:val="1"/>
      <w:numFmt w:val="decimal"/>
      <w:lvlText w:val="%1."/>
      <w:lvlJc w:val="left"/>
      <w:pPr>
        <w:ind w:left="720" w:hanging="360"/>
      </w:pPr>
      <w:rPr>
        <w:rFonts w:ascii="Cambria" w:eastAsia="Times New Roman" w:hAnsi="Cambria"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CB5D6B"/>
    <w:multiLevelType w:val="hybridMultilevel"/>
    <w:tmpl w:val="DC009F6A"/>
    <w:lvl w:ilvl="0" w:tplc="6DC4749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2535D2"/>
    <w:multiLevelType w:val="hybridMultilevel"/>
    <w:tmpl w:val="2AFC9072"/>
    <w:lvl w:ilvl="0" w:tplc="A3C2EE8C">
      <w:start w:val="5"/>
      <w:numFmt w:val="bullet"/>
      <w:lvlText w:val="-"/>
      <w:lvlJc w:val="left"/>
      <w:pPr>
        <w:ind w:left="960" w:hanging="360"/>
      </w:pPr>
      <w:rPr>
        <w:rFonts w:ascii="Calibri" w:eastAsia="Times New Roman" w:hAnsi="Calibri" w:cs="Times New Roman" w:hint="default"/>
        <w:b/>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6" w15:restartNumberingAfterBreak="0">
    <w:nsid w:val="1F57075A"/>
    <w:multiLevelType w:val="hybridMultilevel"/>
    <w:tmpl w:val="3AEE18D8"/>
    <w:lvl w:ilvl="0" w:tplc="57DCF56E">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BB05D1"/>
    <w:multiLevelType w:val="hybridMultilevel"/>
    <w:tmpl w:val="F46EB2C2"/>
    <w:lvl w:ilvl="0" w:tplc="2CEEEC1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0220CC"/>
    <w:multiLevelType w:val="hybridMultilevel"/>
    <w:tmpl w:val="2488D52E"/>
    <w:lvl w:ilvl="0" w:tplc="6B4EEFD4">
      <w:numFmt w:val="bullet"/>
      <w:lvlText w:val="-"/>
      <w:lvlJc w:val="left"/>
      <w:pPr>
        <w:ind w:left="990" w:hanging="360"/>
      </w:pPr>
      <w:rPr>
        <w:rFonts w:ascii="Cambria" w:eastAsia="Times New Roman" w:hAnsi="Cambria" w:cs="Times New Roman"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9" w15:restartNumberingAfterBreak="0">
    <w:nsid w:val="24AB675F"/>
    <w:multiLevelType w:val="hybridMultilevel"/>
    <w:tmpl w:val="434C1FFC"/>
    <w:lvl w:ilvl="0" w:tplc="C8BA1D2A">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4E222AA"/>
    <w:multiLevelType w:val="hybridMultilevel"/>
    <w:tmpl w:val="14C29730"/>
    <w:lvl w:ilvl="0" w:tplc="9680239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D17EA4"/>
    <w:multiLevelType w:val="hybridMultilevel"/>
    <w:tmpl w:val="5D587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56049C"/>
    <w:multiLevelType w:val="hybridMultilevel"/>
    <w:tmpl w:val="CE44C23E"/>
    <w:lvl w:ilvl="0" w:tplc="F7F660CC">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1C43D0"/>
    <w:multiLevelType w:val="hybridMultilevel"/>
    <w:tmpl w:val="38849C4C"/>
    <w:lvl w:ilvl="0" w:tplc="C08ADFCC">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379E718B"/>
    <w:multiLevelType w:val="hybridMultilevel"/>
    <w:tmpl w:val="61767C62"/>
    <w:lvl w:ilvl="0" w:tplc="73866858">
      <w:numFmt w:val="bullet"/>
      <w:lvlText w:val="-"/>
      <w:lvlJc w:val="left"/>
      <w:pPr>
        <w:ind w:left="1110" w:hanging="360"/>
      </w:pPr>
      <w:rPr>
        <w:rFonts w:ascii="Calibri" w:eastAsia="Times New Roman" w:hAnsi="Calibri" w:cs="Times New Roman"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5" w15:restartNumberingAfterBreak="0">
    <w:nsid w:val="3A923321"/>
    <w:multiLevelType w:val="hybridMultilevel"/>
    <w:tmpl w:val="5E881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C3D3D1E"/>
    <w:multiLevelType w:val="hybridMultilevel"/>
    <w:tmpl w:val="B0A09E90"/>
    <w:lvl w:ilvl="0" w:tplc="04CC505E">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16412C"/>
    <w:multiLevelType w:val="hybridMultilevel"/>
    <w:tmpl w:val="662E7886"/>
    <w:lvl w:ilvl="0" w:tplc="9442559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216AED"/>
    <w:multiLevelType w:val="hybridMultilevel"/>
    <w:tmpl w:val="F008F842"/>
    <w:lvl w:ilvl="0" w:tplc="293A096C">
      <w:start w:val="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E0A3468"/>
    <w:multiLevelType w:val="hybridMultilevel"/>
    <w:tmpl w:val="3E9AF5C4"/>
    <w:lvl w:ilvl="0" w:tplc="0330A09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2707856"/>
    <w:multiLevelType w:val="hybridMultilevel"/>
    <w:tmpl w:val="6F72C7F8"/>
    <w:lvl w:ilvl="0" w:tplc="436A853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92E1FDB"/>
    <w:multiLevelType w:val="hybridMultilevel"/>
    <w:tmpl w:val="9C026B88"/>
    <w:lvl w:ilvl="0" w:tplc="2E607680">
      <w:numFmt w:val="bullet"/>
      <w:lvlText w:val="-"/>
      <w:lvlJc w:val="left"/>
      <w:pPr>
        <w:ind w:left="1050" w:hanging="360"/>
      </w:pPr>
      <w:rPr>
        <w:rFonts w:ascii="Calibri" w:eastAsia="Times New Roman" w:hAnsi="Calibri" w:cs="Times New Roman"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2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E8A44FE"/>
    <w:multiLevelType w:val="hybridMultilevel"/>
    <w:tmpl w:val="22DA7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A7C7D81"/>
    <w:multiLevelType w:val="hybridMultilevel"/>
    <w:tmpl w:val="233E86D6"/>
    <w:lvl w:ilvl="0" w:tplc="8C1ECEB2">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0BD7B1B"/>
    <w:multiLevelType w:val="hybridMultilevel"/>
    <w:tmpl w:val="B8286B72"/>
    <w:lvl w:ilvl="0" w:tplc="789EAB4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39B6E23"/>
    <w:multiLevelType w:val="hybridMultilevel"/>
    <w:tmpl w:val="7D129BD6"/>
    <w:lvl w:ilvl="0" w:tplc="5490726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63977D3"/>
    <w:multiLevelType w:val="hybridMultilevel"/>
    <w:tmpl w:val="67A498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B4D3F93"/>
    <w:multiLevelType w:val="hybridMultilevel"/>
    <w:tmpl w:val="02B2A772"/>
    <w:lvl w:ilvl="0" w:tplc="CCCE8028">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6BEC0880"/>
    <w:multiLevelType w:val="hybridMultilevel"/>
    <w:tmpl w:val="EDA8D194"/>
    <w:lvl w:ilvl="0" w:tplc="96DA9ED0">
      <w:start w:val="1"/>
      <w:numFmt w:val="decimal"/>
      <w:lvlText w:val="%1."/>
      <w:lvlJc w:val="left"/>
      <w:pPr>
        <w:ind w:left="720" w:hanging="360"/>
      </w:pPr>
      <w:rPr>
        <w:rFonts w:ascii="Cambria" w:eastAsia="Times New Roman" w:hAnsi="Cambri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A7C41A1"/>
    <w:multiLevelType w:val="hybridMultilevel"/>
    <w:tmpl w:val="A7E8FD4E"/>
    <w:lvl w:ilvl="0" w:tplc="51B85210">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7CAE62DA"/>
    <w:multiLevelType w:val="hybridMultilevel"/>
    <w:tmpl w:val="40FEDEFC"/>
    <w:lvl w:ilvl="0" w:tplc="080C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CE77007"/>
    <w:multiLevelType w:val="hybridMultilevel"/>
    <w:tmpl w:val="F8DCA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E183D53"/>
    <w:multiLevelType w:val="hybridMultilevel"/>
    <w:tmpl w:val="30C8C588"/>
    <w:lvl w:ilvl="0" w:tplc="308CD05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2"/>
  </w:num>
  <w:num w:numId="11">
    <w:abstractNumId w:val="31"/>
  </w:num>
  <w:num w:numId="12">
    <w:abstractNumId w:val="23"/>
  </w:num>
  <w:num w:numId="13">
    <w:abstractNumId w:val="21"/>
  </w:num>
  <w:num w:numId="14">
    <w:abstractNumId w:val="0"/>
  </w:num>
  <w:num w:numId="15">
    <w:abstractNumId w:val="24"/>
  </w:num>
  <w:num w:numId="16">
    <w:abstractNumId w:val="3"/>
  </w:num>
  <w:num w:numId="17">
    <w:abstractNumId w:val="13"/>
  </w:num>
  <w:num w:numId="18">
    <w:abstractNumId w:val="26"/>
  </w:num>
  <w:num w:numId="19">
    <w:abstractNumId w:val="9"/>
  </w:num>
  <w:num w:numId="20">
    <w:abstractNumId w:val="29"/>
  </w:num>
  <w:num w:numId="21">
    <w:abstractNumId w:val="8"/>
  </w:num>
  <w:num w:numId="22">
    <w:abstractNumId w:val="4"/>
  </w:num>
  <w:num w:numId="23">
    <w:abstractNumId w:val="33"/>
  </w:num>
  <w:num w:numId="24">
    <w:abstractNumId w:val="11"/>
  </w:num>
  <w:num w:numId="25">
    <w:abstractNumId w:val="35"/>
  </w:num>
  <w:num w:numId="26">
    <w:abstractNumId w:val="6"/>
  </w:num>
  <w:num w:numId="27">
    <w:abstractNumId w:val="34"/>
  </w:num>
  <w:num w:numId="28">
    <w:abstractNumId w:val="16"/>
  </w:num>
  <w:num w:numId="29">
    <w:abstractNumId w:val="25"/>
  </w:num>
  <w:num w:numId="30">
    <w:abstractNumId w:val="20"/>
  </w:num>
  <w:num w:numId="31">
    <w:abstractNumId w:val="1"/>
  </w:num>
  <w:num w:numId="32">
    <w:abstractNumId w:val="30"/>
  </w:num>
  <w:num w:numId="33">
    <w:abstractNumId w:val="2"/>
  </w:num>
  <w:num w:numId="34">
    <w:abstractNumId w:val="28"/>
  </w:num>
  <w:num w:numId="35">
    <w:abstractNumId w:val="5"/>
  </w:num>
  <w:num w:numId="36">
    <w:abstractNumId w:val="12"/>
  </w:num>
  <w:num w:numId="37">
    <w:abstractNumId w:val="18"/>
  </w:num>
  <w:num w:numId="38">
    <w:abstractNumId w:val="7"/>
  </w:num>
  <w:num w:numId="39">
    <w:abstractNumId w:val="10"/>
  </w:num>
  <w:num w:numId="40">
    <w:abstractNumId w:val="36"/>
  </w:num>
  <w:num w:numId="41">
    <w:abstractNumId w:val="17"/>
  </w:num>
  <w:num w:numId="42">
    <w:abstractNumId w:val="27"/>
  </w:num>
  <w:num w:numId="43">
    <w:abstractNumId w:val="19"/>
  </w:num>
  <w:num w:numId="44">
    <w:abstractNumId w:val="15"/>
  </w:num>
  <w:num w:numId="45">
    <w:abstractNumId w:val="2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288B"/>
    <w:rsid w:val="000314E5"/>
    <w:rsid w:val="000469E3"/>
    <w:rsid w:val="00062826"/>
    <w:rsid w:val="00076F26"/>
    <w:rsid w:val="000910DA"/>
    <w:rsid w:val="00094080"/>
    <w:rsid w:val="00094888"/>
    <w:rsid w:val="000A5F44"/>
    <w:rsid w:val="000C04CE"/>
    <w:rsid w:val="000C3474"/>
    <w:rsid w:val="000C602B"/>
    <w:rsid w:val="000D120E"/>
    <w:rsid w:val="000D5692"/>
    <w:rsid w:val="000E4C2E"/>
    <w:rsid w:val="000F6341"/>
    <w:rsid w:val="00102259"/>
    <w:rsid w:val="00102D48"/>
    <w:rsid w:val="0011265A"/>
    <w:rsid w:val="00116F1B"/>
    <w:rsid w:val="001214BC"/>
    <w:rsid w:val="0013418A"/>
    <w:rsid w:val="001352B5"/>
    <w:rsid w:val="00136E6E"/>
    <w:rsid w:val="00142D13"/>
    <w:rsid w:val="00155FC9"/>
    <w:rsid w:val="00170C9A"/>
    <w:rsid w:val="001712A0"/>
    <w:rsid w:val="00171D13"/>
    <w:rsid w:val="001748A9"/>
    <w:rsid w:val="00190762"/>
    <w:rsid w:val="001B2FC0"/>
    <w:rsid w:val="001B3428"/>
    <w:rsid w:val="001B52A2"/>
    <w:rsid w:val="001B58BF"/>
    <w:rsid w:val="001C27A8"/>
    <w:rsid w:val="001C7847"/>
    <w:rsid w:val="00210510"/>
    <w:rsid w:val="0021278D"/>
    <w:rsid w:val="00223760"/>
    <w:rsid w:val="00224538"/>
    <w:rsid w:val="002254C3"/>
    <w:rsid w:val="00246551"/>
    <w:rsid w:val="00247851"/>
    <w:rsid w:val="00250F4F"/>
    <w:rsid w:val="00255A10"/>
    <w:rsid w:val="00255ABA"/>
    <w:rsid w:val="0027152C"/>
    <w:rsid w:val="002815AC"/>
    <w:rsid w:val="00290156"/>
    <w:rsid w:val="002B6192"/>
    <w:rsid w:val="002D1046"/>
    <w:rsid w:val="002D116D"/>
    <w:rsid w:val="002E22AF"/>
    <w:rsid w:val="002E71FF"/>
    <w:rsid w:val="002F207C"/>
    <w:rsid w:val="00312258"/>
    <w:rsid w:val="0031287A"/>
    <w:rsid w:val="0032166E"/>
    <w:rsid w:val="003320AB"/>
    <w:rsid w:val="00332A41"/>
    <w:rsid w:val="0033623D"/>
    <w:rsid w:val="003460AF"/>
    <w:rsid w:val="003561B7"/>
    <w:rsid w:val="00381123"/>
    <w:rsid w:val="00385E9F"/>
    <w:rsid w:val="00386A35"/>
    <w:rsid w:val="00393827"/>
    <w:rsid w:val="003C2754"/>
    <w:rsid w:val="003C28E6"/>
    <w:rsid w:val="003D4A70"/>
    <w:rsid w:val="003D7C61"/>
    <w:rsid w:val="003F0A4A"/>
    <w:rsid w:val="003F2E27"/>
    <w:rsid w:val="00400103"/>
    <w:rsid w:val="004078C5"/>
    <w:rsid w:val="00412BB7"/>
    <w:rsid w:val="00420921"/>
    <w:rsid w:val="004245FC"/>
    <w:rsid w:val="004366AC"/>
    <w:rsid w:val="00447D48"/>
    <w:rsid w:val="00453AC5"/>
    <w:rsid w:val="00454432"/>
    <w:rsid w:val="004554DC"/>
    <w:rsid w:val="0045647E"/>
    <w:rsid w:val="004603F9"/>
    <w:rsid w:val="00463EF7"/>
    <w:rsid w:val="00465E16"/>
    <w:rsid w:val="0047293F"/>
    <w:rsid w:val="00484496"/>
    <w:rsid w:val="00496243"/>
    <w:rsid w:val="004979A9"/>
    <w:rsid w:val="004A14BF"/>
    <w:rsid w:val="004A6396"/>
    <w:rsid w:val="004B39F8"/>
    <w:rsid w:val="004B578A"/>
    <w:rsid w:val="004C0520"/>
    <w:rsid w:val="004D7370"/>
    <w:rsid w:val="004E10B4"/>
    <w:rsid w:val="004E76EB"/>
    <w:rsid w:val="005021E8"/>
    <w:rsid w:val="0050286A"/>
    <w:rsid w:val="00504D73"/>
    <w:rsid w:val="00510A42"/>
    <w:rsid w:val="00534984"/>
    <w:rsid w:val="005357FF"/>
    <w:rsid w:val="00562643"/>
    <w:rsid w:val="00584F17"/>
    <w:rsid w:val="005979CC"/>
    <w:rsid w:val="005A2E0A"/>
    <w:rsid w:val="005A3C8D"/>
    <w:rsid w:val="005A4EDE"/>
    <w:rsid w:val="005B74B2"/>
    <w:rsid w:val="005C081C"/>
    <w:rsid w:val="005C4E40"/>
    <w:rsid w:val="005D6E35"/>
    <w:rsid w:val="005F0DE1"/>
    <w:rsid w:val="005F3E7A"/>
    <w:rsid w:val="005F7BD3"/>
    <w:rsid w:val="00601FB9"/>
    <w:rsid w:val="006032E7"/>
    <w:rsid w:val="00604981"/>
    <w:rsid w:val="00617869"/>
    <w:rsid w:val="006179C0"/>
    <w:rsid w:val="00620410"/>
    <w:rsid w:val="0063092B"/>
    <w:rsid w:val="00636D9D"/>
    <w:rsid w:val="0064189D"/>
    <w:rsid w:val="00650FA4"/>
    <w:rsid w:val="00651CD5"/>
    <w:rsid w:val="006571A9"/>
    <w:rsid w:val="006A5A2B"/>
    <w:rsid w:val="006A7336"/>
    <w:rsid w:val="006C7AFC"/>
    <w:rsid w:val="006E1963"/>
    <w:rsid w:val="00707175"/>
    <w:rsid w:val="007317FA"/>
    <w:rsid w:val="00735466"/>
    <w:rsid w:val="00750F6F"/>
    <w:rsid w:val="00766D4B"/>
    <w:rsid w:val="0077016C"/>
    <w:rsid w:val="007A25CC"/>
    <w:rsid w:val="007E048A"/>
    <w:rsid w:val="007E309C"/>
    <w:rsid w:val="00811A9B"/>
    <w:rsid w:val="0081288F"/>
    <w:rsid w:val="00817801"/>
    <w:rsid w:val="00822B5A"/>
    <w:rsid w:val="008306FB"/>
    <w:rsid w:val="00832298"/>
    <w:rsid w:val="00833B42"/>
    <w:rsid w:val="00834D64"/>
    <w:rsid w:val="00847380"/>
    <w:rsid w:val="00857971"/>
    <w:rsid w:val="0086137F"/>
    <w:rsid w:val="00862DE6"/>
    <w:rsid w:val="00873BC7"/>
    <w:rsid w:val="008840F4"/>
    <w:rsid w:val="008907AA"/>
    <w:rsid w:val="008A11C6"/>
    <w:rsid w:val="008A3B2F"/>
    <w:rsid w:val="008B0A9F"/>
    <w:rsid w:val="008C73C7"/>
    <w:rsid w:val="008D4039"/>
    <w:rsid w:val="008E7428"/>
    <w:rsid w:val="008F2F72"/>
    <w:rsid w:val="008F4A49"/>
    <w:rsid w:val="00903C55"/>
    <w:rsid w:val="00916FDD"/>
    <w:rsid w:val="009171F4"/>
    <w:rsid w:val="00926E31"/>
    <w:rsid w:val="009342D8"/>
    <w:rsid w:val="00943FB8"/>
    <w:rsid w:val="00957E56"/>
    <w:rsid w:val="00960331"/>
    <w:rsid w:val="00973402"/>
    <w:rsid w:val="009744A0"/>
    <w:rsid w:val="009762FC"/>
    <w:rsid w:val="00983C7F"/>
    <w:rsid w:val="00984E21"/>
    <w:rsid w:val="00996763"/>
    <w:rsid w:val="009A22EA"/>
    <w:rsid w:val="009B236A"/>
    <w:rsid w:val="009B3183"/>
    <w:rsid w:val="009B66C3"/>
    <w:rsid w:val="009C2CE1"/>
    <w:rsid w:val="009C777B"/>
    <w:rsid w:val="009D38ED"/>
    <w:rsid w:val="009D4336"/>
    <w:rsid w:val="009E0114"/>
    <w:rsid w:val="009E060F"/>
    <w:rsid w:val="009E4AE9"/>
    <w:rsid w:val="00A064EC"/>
    <w:rsid w:val="00A209C5"/>
    <w:rsid w:val="00A227D8"/>
    <w:rsid w:val="00A26A9A"/>
    <w:rsid w:val="00A37122"/>
    <w:rsid w:val="00A4313E"/>
    <w:rsid w:val="00A56412"/>
    <w:rsid w:val="00A5663B"/>
    <w:rsid w:val="00A616D2"/>
    <w:rsid w:val="00A75855"/>
    <w:rsid w:val="00A83522"/>
    <w:rsid w:val="00A83F15"/>
    <w:rsid w:val="00A914C6"/>
    <w:rsid w:val="00A9362C"/>
    <w:rsid w:val="00AA6BBB"/>
    <w:rsid w:val="00AB1209"/>
    <w:rsid w:val="00AC50B9"/>
    <w:rsid w:val="00AD7C3A"/>
    <w:rsid w:val="00AD7E0C"/>
    <w:rsid w:val="00AE5DC7"/>
    <w:rsid w:val="00B01AB1"/>
    <w:rsid w:val="00B14DE7"/>
    <w:rsid w:val="00B17A97"/>
    <w:rsid w:val="00B2037D"/>
    <w:rsid w:val="00B20F59"/>
    <w:rsid w:val="00B23242"/>
    <w:rsid w:val="00B2683A"/>
    <w:rsid w:val="00B32347"/>
    <w:rsid w:val="00B32F38"/>
    <w:rsid w:val="00B33965"/>
    <w:rsid w:val="00B816B7"/>
    <w:rsid w:val="00B97E66"/>
    <w:rsid w:val="00BA0422"/>
    <w:rsid w:val="00BA4305"/>
    <w:rsid w:val="00BC4932"/>
    <w:rsid w:val="00BC59E8"/>
    <w:rsid w:val="00BD1357"/>
    <w:rsid w:val="00BF1D71"/>
    <w:rsid w:val="00C0021A"/>
    <w:rsid w:val="00C00A75"/>
    <w:rsid w:val="00C2735D"/>
    <w:rsid w:val="00C303B2"/>
    <w:rsid w:val="00C30500"/>
    <w:rsid w:val="00C570E4"/>
    <w:rsid w:val="00C57F1E"/>
    <w:rsid w:val="00C7139F"/>
    <w:rsid w:val="00C719DC"/>
    <w:rsid w:val="00C74566"/>
    <w:rsid w:val="00C76E97"/>
    <w:rsid w:val="00C8243F"/>
    <w:rsid w:val="00C83351"/>
    <w:rsid w:val="00C836B9"/>
    <w:rsid w:val="00C87186"/>
    <w:rsid w:val="00C918B5"/>
    <w:rsid w:val="00C97754"/>
    <w:rsid w:val="00CA760E"/>
    <w:rsid w:val="00CB0688"/>
    <w:rsid w:val="00CB7121"/>
    <w:rsid w:val="00CC074E"/>
    <w:rsid w:val="00CC4812"/>
    <w:rsid w:val="00CD39B2"/>
    <w:rsid w:val="00CD6E8B"/>
    <w:rsid w:val="00D036A8"/>
    <w:rsid w:val="00D11473"/>
    <w:rsid w:val="00D12525"/>
    <w:rsid w:val="00D3382D"/>
    <w:rsid w:val="00D46ACE"/>
    <w:rsid w:val="00D74D85"/>
    <w:rsid w:val="00D74F84"/>
    <w:rsid w:val="00D924EE"/>
    <w:rsid w:val="00DB3C7E"/>
    <w:rsid w:val="00DB6DD2"/>
    <w:rsid w:val="00DC2C56"/>
    <w:rsid w:val="00DC7532"/>
    <w:rsid w:val="00DD144E"/>
    <w:rsid w:val="00DF055A"/>
    <w:rsid w:val="00E02802"/>
    <w:rsid w:val="00E10BAA"/>
    <w:rsid w:val="00E17571"/>
    <w:rsid w:val="00E23646"/>
    <w:rsid w:val="00E34405"/>
    <w:rsid w:val="00E43251"/>
    <w:rsid w:val="00E434DC"/>
    <w:rsid w:val="00E70687"/>
    <w:rsid w:val="00E735E4"/>
    <w:rsid w:val="00E81D57"/>
    <w:rsid w:val="00E832E9"/>
    <w:rsid w:val="00E86666"/>
    <w:rsid w:val="00EB031F"/>
    <w:rsid w:val="00EB1C6F"/>
    <w:rsid w:val="00EC2D21"/>
    <w:rsid w:val="00EC513E"/>
    <w:rsid w:val="00EE2083"/>
    <w:rsid w:val="00EE6171"/>
    <w:rsid w:val="00EF75E6"/>
    <w:rsid w:val="00F052AB"/>
    <w:rsid w:val="00F21B29"/>
    <w:rsid w:val="00F34DE1"/>
    <w:rsid w:val="00F444C8"/>
    <w:rsid w:val="00F47852"/>
    <w:rsid w:val="00F54BDD"/>
    <w:rsid w:val="00F60186"/>
    <w:rsid w:val="00F74F23"/>
    <w:rsid w:val="00F82B30"/>
    <w:rsid w:val="00F8559A"/>
    <w:rsid w:val="00F85BDA"/>
    <w:rsid w:val="00F86DB3"/>
    <w:rsid w:val="00FA0025"/>
    <w:rsid w:val="00FA0AC5"/>
    <w:rsid w:val="00FB01BD"/>
    <w:rsid w:val="00FB4284"/>
    <w:rsid w:val="00FB7212"/>
    <w:rsid w:val="00FC2368"/>
    <w:rsid w:val="00FC7799"/>
    <w:rsid w:val="00FC7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C2C56"/>
    <w:rPr>
      <w:color w:val="0000FF" w:themeColor="hyperlink"/>
      <w:u w:val="single"/>
    </w:rPr>
  </w:style>
  <w:style w:type="character" w:styleId="-0">
    <w:name w:val="FollowedHyperlink"/>
    <w:basedOn w:val="a0"/>
    <w:uiPriority w:val="99"/>
    <w:semiHidden/>
    <w:unhideWhenUsed/>
    <w:rsid w:val="004603F9"/>
    <w:rPr>
      <w:color w:val="800080" w:themeColor="followedHyperlink"/>
      <w:u w:val="single"/>
    </w:rPr>
  </w:style>
  <w:style w:type="paragraph" w:styleId="a9">
    <w:name w:val="footnote text"/>
    <w:basedOn w:val="a"/>
    <w:link w:val="Char3"/>
    <w:uiPriority w:val="99"/>
    <w:semiHidden/>
    <w:unhideWhenUsed/>
    <w:rsid w:val="008306FB"/>
    <w:pPr>
      <w:spacing w:after="0" w:line="240" w:lineRule="auto"/>
    </w:pPr>
    <w:rPr>
      <w:sz w:val="20"/>
      <w:szCs w:val="20"/>
    </w:rPr>
  </w:style>
  <w:style w:type="character" w:customStyle="1" w:styleId="Char3">
    <w:name w:val="Κείμενο υποσημείωσης Char"/>
    <w:basedOn w:val="a0"/>
    <w:link w:val="a9"/>
    <w:uiPriority w:val="99"/>
    <w:semiHidden/>
    <w:rsid w:val="008306FB"/>
    <w:rPr>
      <w:rFonts w:ascii="Cambria" w:hAnsi="Cambria"/>
      <w:color w:val="000000"/>
    </w:rPr>
  </w:style>
  <w:style w:type="character" w:styleId="aa">
    <w:name w:val="footnote reference"/>
    <w:basedOn w:val="a0"/>
    <w:uiPriority w:val="99"/>
    <w:semiHidden/>
    <w:unhideWhenUsed/>
    <w:rsid w:val="008306FB"/>
    <w:rPr>
      <w:vertAlign w:val="superscript"/>
    </w:rPr>
  </w:style>
  <w:style w:type="paragraph" w:styleId="ab">
    <w:name w:val="endnote text"/>
    <w:basedOn w:val="a"/>
    <w:link w:val="Char4"/>
    <w:uiPriority w:val="99"/>
    <w:semiHidden/>
    <w:unhideWhenUsed/>
    <w:rsid w:val="00D74D85"/>
    <w:pPr>
      <w:spacing w:after="0" w:line="240" w:lineRule="auto"/>
    </w:pPr>
    <w:rPr>
      <w:sz w:val="20"/>
      <w:szCs w:val="20"/>
    </w:rPr>
  </w:style>
  <w:style w:type="character" w:customStyle="1" w:styleId="Char4">
    <w:name w:val="Κείμενο σημείωσης τέλους Char"/>
    <w:basedOn w:val="a0"/>
    <w:link w:val="ab"/>
    <w:uiPriority w:val="99"/>
    <w:semiHidden/>
    <w:rsid w:val="00D74D85"/>
    <w:rPr>
      <w:rFonts w:ascii="Cambria" w:hAnsi="Cambria"/>
      <w:color w:val="000000"/>
    </w:rPr>
  </w:style>
  <w:style w:type="character" w:styleId="ac">
    <w:name w:val="endnote reference"/>
    <w:basedOn w:val="a0"/>
    <w:uiPriority w:val="99"/>
    <w:semiHidden/>
    <w:unhideWhenUsed/>
    <w:rsid w:val="00D7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rapid/press-release_IP-15-5708_el.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moi.info/%CE%A6%CE%95%CE%9A-%CE%91-88-2012-%CF%83%CE%B5%CE%BB-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1446E6-D94B-4E7F-A456-11B84503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2074</Words>
  <Characters>11204</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2016-11-17T11:23:00Z</cp:lastPrinted>
  <dcterms:created xsi:type="dcterms:W3CDTF">2016-12-15T10:47:00Z</dcterms:created>
  <dcterms:modified xsi:type="dcterms:W3CDTF">2016-12-15T10:47:00Z</dcterms:modified>
</cp:coreProperties>
</file>