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0B35E2" w:rsidRDefault="00B816B7">
      <w:r>
        <w:t xml:space="preserve">Πληροφορίες: </w:t>
      </w:r>
      <w:r w:rsidR="000B35E2">
        <w:t xml:space="preserve">Δημήτρης </w:t>
      </w:r>
      <w:proofErr w:type="spellStart"/>
      <w:r w:rsidR="000B35E2">
        <w:t>Λογαράς</w:t>
      </w:r>
      <w:proofErr w:type="spellEnd"/>
    </w:p>
    <w:p w:rsidR="00A5663B" w:rsidRPr="00A5663B" w:rsidRDefault="007A25CC" w:rsidP="00A5663B">
      <w:pPr>
        <w:spacing w:before="480"/>
        <w:jc w:val="right"/>
        <w:rPr>
          <w:b/>
        </w:rPr>
      </w:pPr>
      <w:r>
        <w:rPr>
          <w:b/>
        </w:rPr>
        <w:br w:type="column"/>
      </w:r>
      <w:r>
        <w:rPr>
          <w:b/>
        </w:rPr>
        <w:t xml:space="preserve">Αθήνα: </w:t>
      </w:r>
      <w:r w:rsidR="000B35E2">
        <w:rPr>
          <w:b/>
        </w:rPr>
        <w:t>03.06</w:t>
      </w:r>
      <w:r>
        <w:rPr>
          <w:b/>
        </w:rPr>
        <w:t>.2016</w:t>
      </w:r>
    </w:p>
    <w:p w:rsidR="00A5663B" w:rsidRPr="00A5663B" w:rsidRDefault="00AC50B9" w:rsidP="00A5663B">
      <w:pPr>
        <w:jc w:val="right"/>
        <w:rPr>
          <w:b/>
        </w:rPr>
      </w:pPr>
      <w:r>
        <w:rPr>
          <w:b/>
        </w:rPr>
        <w:t xml:space="preserve">Αρ. Πρωτ.: </w:t>
      </w:r>
      <w:r w:rsidR="000B35E2">
        <w:rPr>
          <w:b/>
        </w:rPr>
        <w:t>888</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Default="00A5663B" w:rsidP="000B35E2">
      <w:pPr>
        <w:spacing w:before="360"/>
        <w:jc w:val="center"/>
        <w:rPr>
          <w:b/>
        </w:rPr>
      </w:pPr>
      <w:r w:rsidRPr="00A5663B">
        <w:rPr>
          <w:b/>
        </w:rPr>
        <w:t>Προς:</w:t>
      </w:r>
      <w:r w:rsidR="003C28E6">
        <w:rPr>
          <w:b/>
        </w:rPr>
        <w:t xml:space="preserve"> </w:t>
      </w:r>
      <w:r w:rsidR="000B35E2" w:rsidRPr="000B35E2">
        <w:rPr>
          <w:b/>
        </w:rPr>
        <w:t>Πρόεδρο και Μέλη της Διαρκούς Επιτροπής Παραγωγή</w:t>
      </w:r>
      <w:r w:rsidR="000B35E2">
        <w:rPr>
          <w:b/>
        </w:rPr>
        <w:t xml:space="preserve">ς και Εμπορίου της Βουλής των </w:t>
      </w:r>
      <w:r w:rsidR="000B35E2" w:rsidRPr="000B35E2">
        <w:rPr>
          <w:b/>
        </w:rPr>
        <w:t xml:space="preserve">Ελλήνων  </w:t>
      </w:r>
    </w:p>
    <w:p w:rsidR="000B35E2" w:rsidRDefault="000B35E2" w:rsidP="000B35E2">
      <w:pPr>
        <w:pStyle w:val="a7"/>
        <w:rPr>
          <w:b/>
          <w:color w:val="auto"/>
          <w:sz w:val="28"/>
          <w:szCs w:val="28"/>
        </w:rPr>
      </w:pPr>
      <w:r w:rsidRPr="000B35E2">
        <w:rPr>
          <w:b/>
          <w:color w:val="auto"/>
          <w:sz w:val="28"/>
          <w:szCs w:val="28"/>
        </w:rPr>
        <w:t xml:space="preserve">ΘΕΜΑ: Προτάσεις Ε.Σ.Α.μεΑ. επί του Σχεδίου Νόμου «Θεσμικό πλαίσιο για τη σύσταση καθεστώτων Ενισχύσεων Ιδιωτικών Επενδύσεων για την περιφερειακή και οικονομική ανάπτυξη της χώρας- Σύσταση Αναπτυξιακού Συμβουλίου και Άλλες Διατάξεις»  </w:t>
      </w:r>
    </w:p>
    <w:p w:rsidR="00301D15" w:rsidRPr="00301D15" w:rsidRDefault="00301D15" w:rsidP="00301D15">
      <w:pPr>
        <w:rPr>
          <w:b/>
        </w:rPr>
      </w:pPr>
      <w:r w:rsidRPr="00301D15">
        <w:rPr>
          <w:b/>
        </w:rPr>
        <w:t xml:space="preserve">ΚΟΙΝ: </w:t>
      </w:r>
    </w:p>
    <w:p w:rsidR="00301D15" w:rsidRPr="001517B8" w:rsidRDefault="00301D15" w:rsidP="001517B8">
      <w:pPr>
        <w:pStyle w:val="a8"/>
        <w:numPr>
          <w:ilvl w:val="0"/>
          <w:numId w:val="18"/>
        </w:numPr>
        <w:rPr>
          <w:i/>
        </w:rPr>
      </w:pPr>
      <w:r w:rsidRPr="001517B8">
        <w:rPr>
          <w:i/>
        </w:rPr>
        <w:t xml:space="preserve">κ. Γ. Σταθάκη, Υπουργό Οικονομίας, Ανάπτυξης &amp; Τουρισμού </w:t>
      </w:r>
    </w:p>
    <w:p w:rsidR="00301D15" w:rsidRPr="001517B8" w:rsidRDefault="00301D15" w:rsidP="001517B8">
      <w:pPr>
        <w:pStyle w:val="a8"/>
        <w:numPr>
          <w:ilvl w:val="0"/>
          <w:numId w:val="18"/>
        </w:numPr>
        <w:rPr>
          <w:i/>
        </w:rPr>
      </w:pPr>
      <w:r w:rsidRPr="001517B8">
        <w:rPr>
          <w:i/>
        </w:rPr>
        <w:t xml:space="preserve">κ. Α. </w:t>
      </w:r>
      <w:proofErr w:type="spellStart"/>
      <w:r w:rsidRPr="001517B8">
        <w:rPr>
          <w:i/>
        </w:rPr>
        <w:t>Χαρίτση</w:t>
      </w:r>
      <w:proofErr w:type="spellEnd"/>
      <w:r w:rsidRPr="001517B8">
        <w:rPr>
          <w:i/>
        </w:rPr>
        <w:t xml:space="preserve">, Υφυπουργό Οικονομίας, Ανάπτυξης &amp; Τουρισμού </w:t>
      </w:r>
    </w:p>
    <w:p w:rsidR="00301D15" w:rsidRPr="001517B8" w:rsidRDefault="00301D15" w:rsidP="001517B8">
      <w:pPr>
        <w:pStyle w:val="a8"/>
        <w:numPr>
          <w:ilvl w:val="0"/>
          <w:numId w:val="18"/>
        </w:numPr>
        <w:rPr>
          <w:i/>
        </w:rPr>
      </w:pPr>
      <w:r w:rsidRPr="001517B8">
        <w:rPr>
          <w:i/>
        </w:rPr>
        <w:t>Η. Ξανθάκο, Γενικό Γραμματέα Οικονομίας, Ανάπτυξης &amp; Τουρισμού</w:t>
      </w:r>
    </w:p>
    <w:p w:rsidR="000B35E2" w:rsidRPr="000B35E2" w:rsidRDefault="000B35E2" w:rsidP="000B35E2">
      <w:pPr>
        <w:rPr>
          <w:b/>
          <w:i/>
        </w:rPr>
      </w:pPr>
      <w:r w:rsidRPr="000B35E2">
        <w:rPr>
          <w:b/>
          <w:i/>
        </w:rPr>
        <w:t xml:space="preserve">Αξιότιμη κυρία Πρόεδρε, </w:t>
      </w:r>
    </w:p>
    <w:p w:rsidR="00A5663B" w:rsidRPr="00811A9B" w:rsidRDefault="000B35E2" w:rsidP="000B35E2">
      <w:pPr>
        <w:rPr>
          <w:b/>
          <w:i/>
        </w:rPr>
      </w:pPr>
      <w:r w:rsidRPr="000B35E2">
        <w:rPr>
          <w:b/>
          <w:i/>
        </w:rPr>
        <w:t>Αξιότιμα Μέλη,</w:t>
      </w:r>
    </w:p>
    <w:p w:rsidR="000B35E2" w:rsidRDefault="000B35E2" w:rsidP="000B35E2">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-βάσει του Ν.2430/1996 (Αρ. ΦΕΚ 156 Α΄/10.07.1996)-μέλος με δικαίωμα ψήφου στις Επιτροπές Παρακολούθησης του συνόλου των Επιχειρησιακών Προγραμμάτων του ΕΣΠΑ 2014 – 2020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με το παρόν έγγραφό της σας αποστέλλει τις προτάσεις της επί του Σχεδίου Νόμου «Θεσμικό πλαίσιο για τη σύσταση καθεστώτων Ενισχύσεων Ιδιωτικών Επενδύσεων για την περιφερειακή και οικονομική ανάπτυξη της χώρας- Σύσταση Αναπτυξιακού Συμβουλίου και Άλλες Διατάξεις», οι οποίες παρόλο που υποβλήθηκαν ηλεκτρονικά στην ιστοσελίδα www.opengov.gr στις 16.05.2016 ωστόσο δεν λήφθηκαν υπόψη. </w:t>
      </w:r>
    </w:p>
    <w:p w:rsidR="00B40559" w:rsidRDefault="000B35E2" w:rsidP="000B35E2">
      <w:r>
        <w:lastRenderedPageBreak/>
        <w:t>Πάγια πλέον πολιτική της Ευρωπαϊκής Ένωσης, αλλά και όλων των προηγμένων κρατών διεθνώς, είναι η αξιοποίηση των μεγάλων αναπτυξιακών προγραμμάτων και ως εργαλείων για την προώθηση μέτρων με στόχο τη δημιουργία ισχυρών αειφόρων κοινωνιών, με σεβασμό όμως στα δικαιώματα και τις ιδιαίτερες ανάγκες όλων των γενεών, καθώς και όλων ανεξαιρέτως των πολιτών, δίχως διακρίσεις και αποκλεισμούς. Χαρακτηριστικό παράδειγμα αποτελεί η αξιοποίηση από την Ευρωπαϊκή Ένωση των χρηματοδοτήσεων των Ευρωπαϊκών Διαρθρωτικών και Επενδυτικών Ταμείων της προγραμματικής περιόδου 2014 – 2020 για τη βελτίωση των συνθηκών πρόσβασης των ατόμων με αναπηρία σε όλους τους τομείς της κοινωνικής ζωής, μέσω των απαιτήσεων του άρθρου 7  «Προώθηση της Ισότητας μεταξύ ανδρών και γυναικών και μη διάκριση» και των Γενικών εκ των προτέρων Αιρεσιμοτήτων 1 «Καταπολέμηση των διακρίσεων» και 3 «Αναπηρία» του Γενικού Κανονισμού των Διαρθρωτικών και Επενδυτικών Ταμείω</w:t>
      </w:r>
      <w:r w:rsidR="00B40559">
        <w:t>ν της Ευρωπαϊκής Ένωσης (Ε.Ε.)</w:t>
      </w:r>
      <w:r w:rsidR="00B40559" w:rsidRPr="00B40559">
        <w:t>.</w:t>
      </w:r>
    </w:p>
    <w:p w:rsidR="00B40559" w:rsidRDefault="000B35E2" w:rsidP="000B35E2">
      <w:r>
        <w:t>Επιπρόσθετα, η αύξηση του ρυθμού γήρανσης του πληθυσμού επιβάλλει διεθνώς την ανάπτυξη και αξιοποίηση όλων των δυνάμεων της κοινωνίας, ακόμη και αυτών που παραδοσιακά, λόγω λανθασμένων εκτιμήσεων και κατεστημένων αντιλήψεων, αντιμετωπίζονταν με σκεπτικισμό ως προς την αποτελεσματικότητα και παραγωγικότητά τους, μεταξύ των οποίων είναι και τα άτομα με αναπηρία.</w:t>
      </w:r>
    </w:p>
    <w:p w:rsidR="000B35E2" w:rsidRDefault="000B35E2" w:rsidP="000B35E2">
      <w:r>
        <w:t xml:space="preserve">Υπό την προαναφερθείσα οπτική, η Ε.Σ.Α.μεΑ. θεωρεί ότι το νέο «Θεσμικό πλαίσιο για τη σύσταση καθεστώτων Ενισχύσεων Ιδιωτικών Επενδύσεων για την περιφερειακή και οικονομική ανάπτυξη της χώρας […]» από κοινού με το ΕΣΠΑ 2014 - 2020 οφείλουν να σηματοδοτήσουν μια νέα εποχή για τη μεγάλη πληθυσμιακή ομάδα των ατόμων με αναπηρία μέσω της άρσης όλων εκείνων των εμποδίων που μέχρι σήμερα τα απέκλειαν από μια σειρά κοινωνικών και οικονομικών δραστηριοτήτων και παράλληλα της εφαρμογής πολιτικών, μέτρων και προγραμμάτων που καταπολεμούν τη διάκριση και προωθούν την κοινωνική ένταξή τους, όπως άλλωστε επιτάσσει:  </w:t>
      </w:r>
    </w:p>
    <w:p w:rsidR="000B35E2" w:rsidRDefault="000B35E2" w:rsidP="000B35E2">
      <w:r>
        <w:t xml:space="preserve">i) το Σύνταγμα της Χώρας. Σύμφωνα με την παρ. 6 του άρθρου 21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0B35E2" w:rsidRDefault="000B35E2" w:rsidP="000B35E2">
      <w:r>
        <w:t xml:space="preserve"> </w:t>
      </w:r>
      <w:proofErr w:type="spellStart"/>
      <w:r>
        <w:t>ii</w:t>
      </w:r>
      <w:proofErr w:type="spellEnd"/>
      <w:r>
        <w:t xml:space="preserve">) η Σύμβαση για τα Δικαιώματα των Ατόμων με Αναπηρία του ΟΗΕ, την οποία η χώρα μας επικύρωσε με τον Ν.4074/2012 (ΦΕΚ 88 Α΄/11.04.2012),  </w:t>
      </w:r>
    </w:p>
    <w:p w:rsidR="000B35E2" w:rsidRDefault="000B35E2" w:rsidP="000B35E2">
      <w:proofErr w:type="spellStart"/>
      <w:r>
        <w:t>iii</w:t>
      </w:r>
      <w:proofErr w:type="spellEnd"/>
      <w:r>
        <w:t xml:space="preserve">) το άρθρο 10 «Εύλογες προσαρμογές για τα άτομα με αναπηρία» του Ν.3304/2005, στο οποίο αναφέρεται το εξής: «Για την τήρηση της αρχής της ίσης μεταχείρισης έναντι ατόμων με αναπηρία,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καθώς και δυνατότητα συμμετοχής στην επαγγελματική κατάρτιση». </w:t>
      </w:r>
    </w:p>
    <w:p w:rsidR="000B35E2" w:rsidRDefault="000B35E2" w:rsidP="000B35E2">
      <w:r>
        <w:t>Λαμβάνοντας υπόψη:</w:t>
      </w:r>
    </w:p>
    <w:p w:rsidR="000B35E2" w:rsidRDefault="000B35E2" w:rsidP="000B35E2">
      <w:pPr>
        <w:pStyle w:val="a8"/>
        <w:numPr>
          <w:ilvl w:val="0"/>
          <w:numId w:val="14"/>
        </w:numPr>
      </w:pPr>
      <w:r>
        <w:t xml:space="preserve">τις προαναφερθείσες απαιτήσεις, </w:t>
      </w:r>
    </w:p>
    <w:p w:rsidR="000B35E2" w:rsidRDefault="000B35E2" w:rsidP="000B35E2">
      <w:pPr>
        <w:pStyle w:val="a8"/>
        <w:numPr>
          <w:ilvl w:val="0"/>
          <w:numId w:val="14"/>
        </w:numPr>
      </w:pPr>
      <w:r>
        <w:t xml:space="preserve">το γεγονός ότι η ευρωπαϊκή και διεθνής εμπειρία έχει αποδείξει ότι η οριζόντια διάχυση της διάστασης της αναπηρίας σε δράσεις, πολιτικές και προγράμματα που </w:t>
      </w:r>
      <w:r>
        <w:lastRenderedPageBreak/>
        <w:t xml:space="preserve">αφορούν στο γενικό πληθυσμό είναι ο παράγων που επιφέρει την ουσιαστική διαφορά προς όφελος των ατόμων με αναπηρία, </w:t>
      </w:r>
    </w:p>
    <w:p w:rsidR="000B35E2" w:rsidRDefault="000B35E2" w:rsidP="000B35E2">
      <w:r>
        <w:t xml:space="preserve">η Ε.Σ.Α.μεΑ. αιτείται  τη θεσμοθέτηση του κριτηρίου της προσβασιμότητας των ατόμων με αναπηρία ως κριτηρίου </w:t>
      </w:r>
      <w:proofErr w:type="spellStart"/>
      <w:r>
        <w:t>επιλεξιμότητας</w:t>
      </w:r>
      <w:proofErr w:type="spellEnd"/>
      <w:r>
        <w:t xml:space="preserve">, όπως ακριβώς δηλαδή συμβαίνει και στα Επιχειρησιακά Προγράμματα του ΕΣΠΑ 2014 - 2020. Μόνο με αυτόν τον τρόπο δύνανται οι επιχορηγήσεις και οι επιδοτήσεις να συνδεθούν μονοσήμαντα με τη διασφάλιση της πρόσβασης των ατόμων με αναπηρία είτε ως καταναλωτών είτε ως εργαζομένων σε υποδομές και υπηρεσίες. Επιπρόσθετα, με  αυτόν τον τρόπο θα μπορέσουν να εφαρμοστούν και οι αρχές του «Σχεδιασμού για Όλους»  και ως εκ τούτου να καλυφθούν οι διαφορετικές ανάγκες για προσβασιμότητα του συνόλου των κατηγοριών των ατόμων με αναπηρία. </w:t>
      </w:r>
    </w:p>
    <w:p w:rsidR="000B35E2" w:rsidRDefault="000B35E2" w:rsidP="000B35E2">
      <w:r>
        <w:t xml:space="preserve">Η Ε.Σ.Α.μεΑ. προτείνει τις παρακάτω συμπληρώσεις/τροποποιήσεις: </w:t>
      </w:r>
    </w:p>
    <w:p w:rsidR="000B35E2" w:rsidRDefault="000B35E2" w:rsidP="000B35E2">
      <w:r>
        <w:t xml:space="preserve">1. </w:t>
      </w:r>
      <w:r>
        <w:t>το «Άρθρο 1 – Σκοπός» να συμπληρωθεί ως ακολούθως (βλ. με έντονη γραμματοσειρά):</w:t>
      </w:r>
    </w:p>
    <w:p w:rsidR="000B35E2" w:rsidRDefault="000B35E2" w:rsidP="000B35E2">
      <w:r>
        <w:t>«Σκοπός του παρόντος νόμου είναι η προώθηση της ισόρροπης και δίχως διακρίσεις και αποκλεισμούς ανάπτυξης με σεβασμό στους περιβαλλοντικούς πόρους και την υποστήριξη μειονεκτικών περιοχών της χώρας, η αύξηση της απασχόλησης, η βελτίωση της συνεργασίας και η αύξηση του μέσου μεγέθους των επιχειρήσεων, η τεχνολογική αναβάθμιση, η διαμόρφωση μιας νέας εξωστρεφούς εθνικής ταυτότητας (</w:t>
      </w:r>
      <w:proofErr w:type="spellStart"/>
      <w:r>
        <w:t>branding</w:t>
      </w:r>
      <w:proofErr w:type="spellEnd"/>
      <w:r>
        <w:t>), η βελτίωση της ανταγωνιστικότητας σε τομείς υψηλής προστιθέμενης αξίας και έντασης γνώσης, η μετακίνηση στην αλυσίδα παραγωγής της αξίας για την παραγωγή πιο σύνθετων και προσβάσιμων σε όλους προϊόντων, η προσφορά καλύτερων και προσβάσιμων σε όλους υπηρεσιών, η προσέλκυση ξένων άμεσων επενδύσεων  και εν τέλει η εξασφάλιση καλύτερης θέσης της χώρας στο Διεθνή Καταμερισμό Εργασίας […]».</w:t>
      </w:r>
    </w:p>
    <w:p w:rsidR="000B35E2" w:rsidRDefault="000B35E2" w:rsidP="000B35E2">
      <w:r>
        <w:t xml:space="preserve">2. </w:t>
      </w:r>
      <w:r>
        <w:t>στο «Άρθρο 4 – Γενικές αρχές χορήγησης των ενισχύσεων» να προστεθεί παρ. 5 ως ακολούθως (βλ. με έντονη γραμματοσειρά):</w:t>
      </w:r>
    </w:p>
    <w:p w:rsidR="000B35E2" w:rsidRDefault="000B35E2" w:rsidP="000B35E2">
      <w:r>
        <w:t>«[…] 4. Χαρακτήρας Κινήτρου</w:t>
      </w:r>
    </w:p>
    <w:p w:rsidR="000B35E2" w:rsidRDefault="000B35E2" w:rsidP="000B35E2">
      <w:r>
        <w:t>Οι ενισχύσεις των καθεστώτων του παρόντος λειτουργούν ως κίνητρο, με την έννοια του άρθρου 6 Γ.Α.Κ., για την περαιτέρω ανάπτυξη δραστηριοτήτων ή έργων […].</w:t>
      </w:r>
    </w:p>
    <w:p w:rsidR="000B35E2" w:rsidRDefault="000B35E2" w:rsidP="000B35E2">
      <w:r>
        <w:t xml:space="preserve">5. Αρχή της μη διάκρισης και της προσβασιμότητας στα άτομα με αναπηρία. </w:t>
      </w:r>
    </w:p>
    <w:p w:rsidR="000B35E2" w:rsidRDefault="000B35E2" w:rsidP="000B35E2">
      <w:r>
        <w:t>Στα καθεστώτα δεν δύνανται να υπαχθούν επενδυτικά σχέδια που δημιουργούν διακρίσεις σε βάρος Ευάλωτων Ομάδων του Πληθυσμού. Ιδιαίτερα η προσβασιμότητα των υποδομών, υπηρεσιών και αγαθών στα άτομα με αναπηρία πρέπει να διασφαλίζεται σε όλες τις φάσεις σχεδιασμού, υλοποίησης και λειτουργίας της επένδυσης σύμφωνα με το άρθρο 9 της Σύμβασης για τα δικαιώματα των ατόμων με αναπηρία του ΟΗΕ (Βλ. Ν.4074/2012)».</w:t>
      </w:r>
    </w:p>
    <w:p w:rsidR="000B35E2" w:rsidRDefault="000B35E2" w:rsidP="000B35E2">
      <w:r>
        <w:t xml:space="preserve">3. </w:t>
      </w:r>
      <w:r>
        <w:t xml:space="preserve">στο «Άρθρο 8 – Επιλέξιμες δαπάνες περιφερειακών ενισχύσεων»: </w:t>
      </w:r>
    </w:p>
    <w:p w:rsidR="000B35E2" w:rsidRDefault="000B35E2" w:rsidP="000B35E2">
      <w:r>
        <w:t>-</w:t>
      </w:r>
      <w:r>
        <w:t xml:space="preserve"> το εδάφιο γ) της παρ. 1 να συμπληρωθεί ως ακολούθως (βλ. με έντονη γραμματοσειρά):</w:t>
      </w:r>
    </w:p>
    <w:p w:rsidR="000B35E2" w:rsidRDefault="000B35E2" w:rsidP="000B35E2">
      <w:r>
        <w:lastRenderedPageBreak/>
        <w:t xml:space="preserve">«[…] γ. το μισθολογικό κόστος των νέων θέσεων εργασίας που δημιουργούνται καθώς και το κόστος για την υλοποίηση εύλογων προσαρμογών σε περίπτωση απασχόλησης ατόμων με αναπηρία ως αποτέλεσμα της υλοποίησης του επενδυτικού σχεδίου υπολογιζόμενο για περίοδο δύο ετών από την δημιουργία κάθε θέσης[…]», </w:t>
      </w:r>
    </w:p>
    <w:p w:rsidR="000B35E2" w:rsidRDefault="000B35E2" w:rsidP="000B35E2">
      <w:r>
        <w:t>-</w:t>
      </w:r>
      <w:r>
        <w:t xml:space="preserve"> το εδάφιο α) της παρ. 3 να συμπληρωθεί ως ακολούθως (βλ. με έντονη γραμματοσειρά):</w:t>
      </w:r>
    </w:p>
    <w:p w:rsidR="000B35E2" w:rsidRDefault="000B35E2" w:rsidP="000B35E2">
      <w:r>
        <w:t>«[…] α. η κατασκευή, η επέκταση, ο εκσυγχρονισμός κτηριακών εγκαταστάσεων και ειδικών και βοηθητικών εγκαταστάσεων των κτηρίων, καθώς και η διαμόρφωση του περιβάλλοντος χώρου αλλά και  οι δαπάνες κατασκευών για τη διασφάλιση της προσβασιμότητας στα άτομα με αναπηρία. Οι δαπάνες αυτές αθροιστικά δεν μπορούν να υπερβαίνουν το 45% του συνόλου των επιλέξιμων δαπανών περιφερειακών ενισχύσεων […]»,</w:t>
      </w:r>
    </w:p>
    <w:p w:rsidR="000B35E2" w:rsidRDefault="000B35E2" w:rsidP="000B35E2">
      <w:r>
        <w:t>-</w:t>
      </w:r>
      <w:r>
        <w:t xml:space="preserve"> τα εδάφια β) και γ) της παρ. 6 να συμπληρωθούν ως ακολούθως (βλ. με έντονη γραμματοσειρά):</w:t>
      </w:r>
    </w:p>
    <w:p w:rsidR="000B35E2" w:rsidRDefault="000B35E2" w:rsidP="000B35E2">
      <w:r>
        <w:t>«[…] β. η αγορά επιβατικών αυτοκινήτων έως έξι (6) θέσεων, εκτός εάν προορίζονται για την ικανοποίηση των αναγκών των ατόμων με αναπηρία,</w:t>
      </w:r>
    </w:p>
    <w:p w:rsidR="000B35E2" w:rsidRDefault="000B35E2" w:rsidP="000B35E2">
      <w:r>
        <w:t>γ. η αγορά επίπλων και σκευών γραφείου, εκτός αν αποτελούν μέρος του ξενοδοχειακού εξοπλισμού ή διευκολύνουν την πρόσβαση των ατόμων με αναπηρία[…]».</w:t>
      </w:r>
    </w:p>
    <w:p w:rsidR="000B35E2" w:rsidRDefault="000B35E2" w:rsidP="000B35E2">
      <w:r>
        <w:t xml:space="preserve">4. </w:t>
      </w:r>
      <w:r>
        <w:t xml:space="preserve">στο «Άρθρο 9 – Επιλέξιμες δαπάνες εκτός περιφερειακών ενισχύσεων», το εδάφιο β) της παρ. 3 να συμπληρωθεί ως ακολούθως (βλ. με έντονη γραμματοσειρά): </w:t>
      </w:r>
    </w:p>
    <w:p w:rsidR="000B35E2" w:rsidRDefault="000B35E2" w:rsidP="000B35E2">
      <w:r>
        <w:t>«[…] β. οι δαπάνες μισθοδοσίας προσωπικού υψηλής ειδίκευσης, το οποίο απασχολείται σε δραστηριότητες ανάπτυξης και καινοτομίας, που αποσπάται για συγκεκριμένο χρονικό διάστημα από οργανισμό έρευνας και διάδοσης γνώσεων ή από μεγάλη επιχείρηση, σε νέες θέσεις που έχουν δημιουργηθεί προς τον σκοπό αυτό στη δικαιούχο επιχείρηση και δεν αντικαθιστά άλλο προσωπικό και οι δαπάνες για την υλοποίηση εύλογων προσαρμογών στην περίπτωση προσωπικού με αναπηρία […]».</w:t>
      </w:r>
    </w:p>
    <w:p w:rsidR="000B35E2" w:rsidRDefault="000B35E2" w:rsidP="000B35E2">
      <w:r>
        <w:t xml:space="preserve">5. </w:t>
      </w:r>
      <w:r>
        <w:t>στο «Άρθρο 10 – Είδη Ενισχύσεων», το εδάφιο δ) της παρ. 1 να συμπληρωθεί ως ακολούθως (βλ. με έντονη γραμματοσειρά):</w:t>
      </w:r>
    </w:p>
    <w:p w:rsidR="000B35E2" w:rsidRDefault="000B35E2" w:rsidP="000B35E2">
      <w:r>
        <w:t>«[…] δ. επιδότηση του κόστους της δημιουργούμενης απασχόλησης, η οποία συνίσταται στην κάλυψη από το Δημόσιο μέρους του μισθολογικού κόστους των νέων θέσεων εργασίας που δημιουργούνται και συνδέονται με το επενδυτικό σχέδιο και οι οποίες δεν λαμβάνουν καμία άλλη κρατική ενίσχυση, καθώς και επιδότηση του κόστους για την υλοποίηση τυχόν εύλογων προσαρμογών σε περίπτωση απασχ</w:t>
      </w:r>
      <w:r>
        <w:t>όλησης ατόμων με αναπηρία […]».</w:t>
      </w:r>
    </w:p>
    <w:p w:rsidR="000B35E2" w:rsidRDefault="000B35E2" w:rsidP="000B35E2">
      <w:r>
        <w:t>6.</w:t>
      </w:r>
      <w:r w:rsidRPr="000B35E2">
        <w:t xml:space="preserve"> </w:t>
      </w:r>
      <w:r>
        <w:t>στο «Άρθρο 12 - Ειδικές Κατηγορίες Ενισχύσεων» να προστεθεί στην παρ. 1 εδάφιο ε) μετά το εδάφιο δ) ως ακολούθως:</w:t>
      </w:r>
    </w:p>
    <w:p w:rsidR="000B35E2" w:rsidRDefault="000B35E2" w:rsidP="000B35E2">
      <w:r>
        <w:t>«[…] δ. επιχειρήσεις οι οποίες παρουσιάζουν αύξηση της απασχόλησής τους: μικρομεσαίες επιχειρήσεις που αύξησαν την απασχόλησή τους (με βάση τις Ετήσιες Μονάδες Εργασίας) σε ποσοστό τουλάχιστον 10% την τελευταία τριετία πριν την αίτηση υπαγωγής του επενδυτικού σχεδίου στις διατάξεις του παρόντος νόμου,</w:t>
      </w:r>
    </w:p>
    <w:p w:rsidR="000B35E2" w:rsidRDefault="000B35E2" w:rsidP="000B35E2">
      <w:r>
        <w:lastRenderedPageBreak/>
        <w:t>ε. επιχειρήσεις που απασχολούν άτομα που ανήκουν σε ευπαθείς ομάδες του πληθυσμού, συμπεριλαμβανομένων και των ατόμων με αναπηρία […]».</w:t>
      </w:r>
    </w:p>
    <w:p w:rsidR="000B35E2" w:rsidRDefault="000B35E2" w:rsidP="000B35E2">
      <w:r>
        <w:t>7.</w:t>
      </w:r>
      <w:r>
        <w:t>στο «Άρθρο 14 – Διαδικασία αξιολόγησης» να προστεθεί στην παρ. 2 του Α «Στάδιο ελέγχου πληρότητας και νομιμότητας» εδάφιο β) μετά το εδάφιο α) ως ακολούθως (βλ. με έντονη γραμματοσειρά):</w:t>
      </w:r>
    </w:p>
    <w:p w:rsidR="000B35E2" w:rsidRDefault="000B35E2" w:rsidP="000B35E2">
      <w:r>
        <w:t>«[…] 2. Για κάθε επενδυτικό σχέδιο πρέπει, με ποινή αποκλεισμού, να συντρέχουν οι ακόλουθες προϋποθέσεις:</w:t>
      </w:r>
    </w:p>
    <w:p w:rsidR="000B35E2" w:rsidRDefault="000B35E2" w:rsidP="000B35E2">
      <w:r>
        <w:t xml:space="preserve">α. πλήρης συμφωνία της αίτησης υπαγωγής και του υπό έγκριση επενδυτικού σχεδίου με τους όρους του παρόντος, </w:t>
      </w:r>
    </w:p>
    <w:p w:rsidR="000B35E2" w:rsidRDefault="000B35E2" w:rsidP="000B35E2">
      <w:r>
        <w:t>β. διασφάλιση της συμμόρφωσής της αίτησης υπαγωγής και του υπό έγκριση επενδυτικού σχεδίου με την αρχή της μη διάκρισης και της προσβασιμότητας στα άτομα με αναπηρία […]».</w:t>
      </w:r>
    </w:p>
    <w:p w:rsidR="000B35E2" w:rsidRDefault="000B35E2" w:rsidP="000B35E2">
      <w:r>
        <w:t xml:space="preserve">8. </w:t>
      </w:r>
      <w:r>
        <w:t>στο τέλος του «Άρθρου 19 –Διαδικασία πιστοποίησης της ολοκλήρωσης και έναρξης της παραγωγικής λειτουργίας της επένδυσης» να προστεθεί παρ. 4  ως ακολούθως (βλ. με έντονη γραμματοσειρά):</w:t>
      </w:r>
    </w:p>
    <w:p w:rsidR="000B35E2" w:rsidRDefault="000B35E2" w:rsidP="000B35E2">
      <w:r>
        <w:t>«[…] 3. Με την απόφαση ολοκλήρωσης και έναρξης της παραγωγικής λειτουργίας της επένδυσης δεν δύναται να επέλθει αύξηση του συνολικού ενισχυόμενου  [..]» .</w:t>
      </w:r>
    </w:p>
    <w:p w:rsidR="000B35E2" w:rsidRDefault="000B35E2" w:rsidP="000B35E2">
      <w:r>
        <w:t>4. Κατά τη διαδικασία πιστοποίησης της ολοκλήρωσης και έναρξης της παραγωγικής λειτουργίας της επένδυσης πιστοποιείται και η τήρηση της αρχής της μη διάκρισης και της προσβασιμότητας στα άτομα με αναπηρία […]».</w:t>
      </w:r>
    </w:p>
    <w:p w:rsidR="000B35E2" w:rsidRDefault="000B35E2" w:rsidP="000B35E2">
      <w:r>
        <w:t xml:space="preserve">9. στο Άρθρο 72 «Σύνθεση και αρμοδιότητες της Επιτροπής Κοινωνικών Εταίρων και Δημόσιας Διοίκησης» να προβλεφθεί η συμμετοχή εκπροσώπου της Εθνικής Συνομοσπονδίας Ατόμων με Αναπηρία (Ε.Σ.Α.μεΑ.) στην Επιτροπή Κοινωνικών Εταίρων και Δημόσιας Διοίκησης (ΕΚΕΔΔ). </w:t>
      </w:r>
    </w:p>
    <w:p w:rsidR="000B35E2" w:rsidRPr="000B35E2" w:rsidRDefault="000B35E2" w:rsidP="000B35E2">
      <w:pPr>
        <w:rPr>
          <w:b/>
          <w:i/>
        </w:rPr>
      </w:pPr>
      <w:r w:rsidRPr="000B35E2">
        <w:rPr>
          <w:b/>
          <w:i/>
        </w:rPr>
        <w:t xml:space="preserve">Αξιότιμη κυρία Πρόεδρε, </w:t>
      </w:r>
    </w:p>
    <w:p w:rsidR="000B35E2" w:rsidRPr="000B35E2" w:rsidRDefault="000B35E2" w:rsidP="000B35E2">
      <w:pPr>
        <w:rPr>
          <w:b/>
          <w:i/>
        </w:rPr>
      </w:pPr>
      <w:r w:rsidRPr="000B35E2">
        <w:rPr>
          <w:b/>
          <w:i/>
        </w:rPr>
        <w:t xml:space="preserve">Αξιότιμα Μέλη, </w:t>
      </w:r>
    </w:p>
    <w:p w:rsidR="00E70687" w:rsidRPr="00E70687" w:rsidRDefault="000B35E2" w:rsidP="000B35E2">
      <w:r>
        <w:t>Ελπίζοντας στη θετική ανταπόκρισή σας στις προαναφερθείσες προτάσεις μας που στοχεύουν στην προώθηση ενός νέου αναπτυξιακού μοντέλου που σέβεται τα ανθρώπινα δικαιώματα όλων των πολιτών, δίχως διακρίσεις και αποκλεισμούς.</w:t>
      </w:r>
    </w:p>
    <w:p w:rsidR="00E70687" w:rsidRDefault="00E70687" w:rsidP="00A5663B"/>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w:t>
      </w:r>
      <w:bookmarkStart w:id="0" w:name="_GoBack"/>
      <w:bookmarkEnd w:id="0"/>
      <w:r w:rsidRPr="00E70687">
        <w:rPr>
          <w:b/>
        </w:rPr>
        <w:t>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E70687" w:rsidRDefault="00B816B7" w:rsidP="00952334">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6E" w:rsidRDefault="00B5146E" w:rsidP="00A5663B">
      <w:pPr>
        <w:spacing w:after="0" w:line="240" w:lineRule="auto"/>
      </w:pPr>
      <w:r>
        <w:separator/>
      </w:r>
    </w:p>
  </w:endnote>
  <w:endnote w:type="continuationSeparator" w:id="0">
    <w:p w:rsidR="00B5146E" w:rsidRDefault="00B5146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6E" w:rsidRDefault="00B5146E" w:rsidP="00A5663B">
      <w:pPr>
        <w:spacing w:after="0" w:line="240" w:lineRule="auto"/>
      </w:pPr>
      <w:r>
        <w:separator/>
      </w:r>
    </w:p>
  </w:footnote>
  <w:footnote w:type="continuationSeparator" w:id="0">
    <w:p w:rsidR="00B5146E" w:rsidRDefault="00B5146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952334">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7D7"/>
    <w:multiLevelType w:val="hybridMultilevel"/>
    <w:tmpl w:val="44D639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7597105"/>
    <w:multiLevelType w:val="hybridMultilevel"/>
    <w:tmpl w:val="3C9A4086"/>
    <w:lvl w:ilvl="0" w:tplc="6EC4B6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1643C4"/>
    <w:multiLevelType w:val="hybridMultilevel"/>
    <w:tmpl w:val="FB7A2B80"/>
    <w:lvl w:ilvl="0" w:tplc="6EC4B6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AC79CD"/>
    <w:multiLevelType w:val="hybridMultilevel"/>
    <w:tmpl w:val="DB943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748577E"/>
    <w:multiLevelType w:val="hybridMultilevel"/>
    <w:tmpl w:val="800E3F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6"/>
  </w:num>
  <w:num w:numId="13">
    <w:abstractNumId w:val="4"/>
  </w:num>
  <w:num w:numId="14">
    <w:abstractNumId w:val="0"/>
  </w:num>
  <w:num w:numId="15">
    <w:abstractNumId w:val="3"/>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5E2"/>
    <w:rsid w:val="000C602B"/>
    <w:rsid w:val="000E4C2E"/>
    <w:rsid w:val="00102259"/>
    <w:rsid w:val="001517B8"/>
    <w:rsid w:val="001B2FC0"/>
    <w:rsid w:val="001B3428"/>
    <w:rsid w:val="001B52A2"/>
    <w:rsid w:val="00224538"/>
    <w:rsid w:val="00246551"/>
    <w:rsid w:val="002D1046"/>
    <w:rsid w:val="00301D15"/>
    <w:rsid w:val="00303F1A"/>
    <w:rsid w:val="003460AF"/>
    <w:rsid w:val="003C28E6"/>
    <w:rsid w:val="003F64BC"/>
    <w:rsid w:val="00412BB7"/>
    <w:rsid w:val="004B39F8"/>
    <w:rsid w:val="005C081C"/>
    <w:rsid w:val="00651CD5"/>
    <w:rsid w:val="0077016C"/>
    <w:rsid w:val="007A25CC"/>
    <w:rsid w:val="00811A9B"/>
    <w:rsid w:val="00834D64"/>
    <w:rsid w:val="008C73C7"/>
    <w:rsid w:val="008F4A49"/>
    <w:rsid w:val="00916FDD"/>
    <w:rsid w:val="00943FB8"/>
    <w:rsid w:val="00952334"/>
    <w:rsid w:val="009B236A"/>
    <w:rsid w:val="009B3183"/>
    <w:rsid w:val="00A56412"/>
    <w:rsid w:val="00A5663B"/>
    <w:rsid w:val="00AC50B9"/>
    <w:rsid w:val="00B01AB1"/>
    <w:rsid w:val="00B40559"/>
    <w:rsid w:val="00B5146E"/>
    <w:rsid w:val="00B816B7"/>
    <w:rsid w:val="00DC7532"/>
    <w:rsid w:val="00E70687"/>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BE5106-E6C2-4E67-A468-CAD842B1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1853</Words>
  <Characters>10009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2014-07-02T11:58:00Z</cp:lastPrinted>
  <dcterms:created xsi:type="dcterms:W3CDTF">2016-06-03T11:38:00Z</dcterms:created>
  <dcterms:modified xsi:type="dcterms:W3CDTF">2016-06-03T11:56:00Z</dcterms:modified>
</cp:coreProperties>
</file>