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E029D2" w:rsidRDefault="00B73E00" w:rsidP="00A5663B">
      <w:pPr>
        <w:spacing w:before="240"/>
        <w:rPr>
          <w:rFonts w:asciiTheme="majorHAnsi" w:hAnsiTheme="majorHAnsi"/>
          <w:b/>
          <w:sz w:val="24"/>
          <w:szCs w:val="24"/>
        </w:rPr>
      </w:pPr>
      <w:r w:rsidRPr="00E029D2">
        <w:rPr>
          <w:rFonts w:asciiTheme="majorHAnsi" w:hAnsiTheme="majorHAnsi"/>
          <w:b/>
          <w:sz w:val="24"/>
          <w:szCs w:val="24"/>
        </w:rPr>
        <w:t xml:space="preserve">ΕΞΑΙΡΕΤΙΚΑ </w:t>
      </w:r>
      <w:r w:rsidR="00A5663B" w:rsidRPr="00E029D2">
        <w:rPr>
          <w:rFonts w:asciiTheme="majorHAnsi" w:hAnsiTheme="majorHAnsi"/>
          <w:b/>
          <w:sz w:val="24"/>
          <w:szCs w:val="24"/>
        </w:rPr>
        <w:t>ΕΠΕΙΓΟΝ</w:t>
      </w:r>
    </w:p>
    <w:p w:rsidR="00A5663B" w:rsidRPr="00E029D2" w:rsidRDefault="00B816B7">
      <w:pPr>
        <w:rPr>
          <w:rFonts w:asciiTheme="majorHAnsi" w:hAnsiTheme="majorHAnsi"/>
          <w:sz w:val="24"/>
          <w:szCs w:val="24"/>
        </w:rPr>
      </w:pPr>
      <w:r w:rsidRPr="00E029D2">
        <w:rPr>
          <w:rFonts w:asciiTheme="majorHAnsi" w:hAnsiTheme="majorHAnsi"/>
          <w:sz w:val="24"/>
          <w:szCs w:val="24"/>
        </w:rPr>
        <w:t>Πληροφορίες: Χριστίνα Σαμαρά</w:t>
      </w:r>
    </w:p>
    <w:p w:rsidR="00E029D2" w:rsidRPr="00E029D2" w:rsidRDefault="0015502C" w:rsidP="00E029D2">
      <w:pPr>
        <w:spacing w:before="480"/>
        <w:jc w:val="right"/>
        <w:rPr>
          <w:rFonts w:asciiTheme="majorHAnsi" w:hAnsiTheme="majorHAnsi"/>
          <w:b/>
          <w:sz w:val="24"/>
          <w:szCs w:val="24"/>
        </w:rPr>
      </w:pPr>
      <w:r w:rsidRPr="00E029D2">
        <w:rPr>
          <w:rFonts w:asciiTheme="majorHAnsi" w:hAnsiTheme="majorHAnsi"/>
          <w:b/>
          <w:sz w:val="24"/>
          <w:szCs w:val="24"/>
        </w:rPr>
        <w:br w:type="column"/>
      </w:r>
      <w:r w:rsidRPr="00E029D2">
        <w:rPr>
          <w:rFonts w:asciiTheme="majorHAnsi" w:hAnsiTheme="majorHAnsi"/>
          <w:b/>
          <w:sz w:val="24"/>
          <w:szCs w:val="24"/>
        </w:rPr>
        <w:t>Αθήνα:</w:t>
      </w:r>
      <w:r w:rsidR="00323972" w:rsidRPr="00E029D2">
        <w:rPr>
          <w:rFonts w:asciiTheme="majorHAnsi" w:hAnsiTheme="majorHAnsi"/>
          <w:b/>
          <w:sz w:val="24"/>
          <w:szCs w:val="24"/>
        </w:rPr>
        <w:t xml:space="preserve"> </w:t>
      </w:r>
      <w:r w:rsidR="00B73E00" w:rsidRPr="00E029D2">
        <w:rPr>
          <w:rFonts w:asciiTheme="majorHAnsi" w:hAnsiTheme="majorHAnsi"/>
          <w:b/>
          <w:sz w:val="24"/>
          <w:szCs w:val="24"/>
        </w:rPr>
        <w:t>14</w:t>
      </w:r>
      <w:r w:rsidR="00207F36" w:rsidRPr="00E029D2">
        <w:rPr>
          <w:rFonts w:asciiTheme="majorHAnsi" w:hAnsiTheme="majorHAnsi"/>
          <w:b/>
          <w:sz w:val="24"/>
          <w:szCs w:val="24"/>
        </w:rPr>
        <w:t>.0</w:t>
      </w:r>
      <w:r w:rsidR="00B73E00" w:rsidRPr="00E029D2">
        <w:rPr>
          <w:rFonts w:asciiTheme="majorHAnsi" w:hAnsiTheme="majorHAnsi"/>
          <w:b/>
          <w:sz w:val="24"/>
          <w:szCs w:val="24"/>
        </w:rPr>
        <w:t>4</w:t>
      </w:r>
      <w:r w:rsidR="00207F36" w:rsidRPr="00E029D2">
        <w:rPr>
          <w:rFonts w:asciiTheme="majorHAnsi" w:hAnsiTheme="majorHAnsi"/>
          <w:b/>
          <w:sz w:val="24"/>
          <w:szCs w:val="24"/>
        </w:rPr>
        <w:t>.2016</w:t>
      </w:r>
    </w:p>
    <w:p w:rsidR="00A5663B" w:rsidRPr="00E029D2" w:rsidRDefault="0015502C" w:rsidP="00E029D2">
      <w:pPr>
        <w:spacing w:before="480"/>
        <w:jc w:val="right"/>
        <w:rPr>
          <w:rFonts w:asciiTheme="majorHAnsi" w:hAnsiTheme="majorHAnsi"/>
          <w:b/>
          <w:sz w:val="24"/>
          <w:szCs w:val="24"/>
        </w:rPr>
        <w:sectPr w:rsidR="00A5663B" w:rsidRPr="00E029D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E029D2">
        <w:rPr>
          <w:rFonts w:asciiTheme="majorHAnsi" w:hAnsiTheme="majorHAnsi"/>
          <w:b/>
          <w:sz w:val="24"/>
          <w:szCs w:val="24"/>
        </w:rPr>
        <w:t>Αρ. Πρωτ.:</w:t>
      </w:r>
      <w:r w:rsidR="00B73E00" w:rsidRPr="00E029D2">
        <w:rPr>
          <w:rFonts w:asciiTheme="majorHAnsi" w:hAnsiTheme="majorHAnsi"/>
          <w:b/>
          <w:sz w:val="24"/>
          <w:szCs w:val="24"/>
        </w:rPr>
        <w:t xml:space="preserve"> 647</w:t>
      </w:r>
      <w:r w:rsidRPr="00E029D2">
        <w:rPr>
          <w:rFonts w:asciiTheme="majorHAnsi" w:hAnsiTheme="majorHAnsi"/>
          <w:b/>
          <w:sz w:val="24"/>
          <w:szCs w:val="24"/>
        </w:rPr>
        <w:t xml:space="preserve"> </w:t>
      </w:r>
    </w:p>
    <w:p w:rsidR="00EE3752" w:rsidRPr="00E029D2" w:rsidRDefault="00BD61C7" w:rsidP="00E029D2">
      <w:pPr>
        <w:spacing w:after="0" w:line="240" w:lineRule="auto"/>
        <w:jc w:val="left"/>
        <w:rPr>
          <w:rFonts w:asciiTheme="majorHAnsi" w:hAnsiTheme="majorHAnsi"/>
          <w:b/>
          <w:sz w:val="24"/>
          <w:szCs w:val="24"/>
        </w:rPr>
      </w:pPr>
      <w:r w:rsidRPr="00E029D2">
        <w:rPr>
          <w:rFonts w:asciiTheme="majorHAnsi" w:hAnsiTheme="majorHAnsi"/>
          <w:b/>
          <w:sz w:val="24"/>
          <w:szCs w:val="24"/>
        </w:rPr>
        <w:t xml:space="preserve">Προς: Πρόεδρο και μέλη Διαρκούς Επιτροπής </w:t>
      </w:r>
      <w:r w:rsidR="00B73E00" w:rsidRPr="00E029D2">
        <w:rPr>
          <w:rFonts w:asciiTheme="majorHAnsi" w:hAnsiTheme="majorHAnsi"/>
          <w:b/>
          <w:sz w:val="24"/>
          <w:szCs w:val="24"/>
        </w:rPr>
        <w:t>Μορφωτικών</w:t>
      </w:r>
      <w:r w:rsidRPr="00E029D2">
        <w:rPr>
          <w:rFonts w:asciiTheme="majorHAnsi" w:hAnsiTheme="majorHAnsi"/>
          <w:b/>
          <w:sz w:val="24"/>
          <w:szCs w:val="24"/>
        </w:rPr>
        <w:t xml:space="preserve"> Υποθέσεων της Βουλής</w:t>
      </w:r>
      <w:bookmarkStart w:id="0" w:name="_GoBack"/>
      <w:bookmarkEnd w:id="0"/>
    </w:p>
    <w:p w:rsidR="00E029D2" w:rsidRPr="00E029D2" w:rsidRDefault="00E029D2" w:rsidP="00E029D2">
      <w:pPr>
        <w:spacing w:after="0" w:line="240" w:lineRule="auto"/>
        <w:rPr>
          <w:rFonts w:asciiTheme="majorHAnsi" w:hAnsiTheme="majorHAnsi"/>
          <w:b/>
          <w:bCs/>
          <w:sz w:val="24"/>
          <w:szCs w:val="24"/>
        </w:rPr>
      </w:pPr>
    </w:p>
    <w:p w:rsidR="009D239A" w:rsidRPr="00E029D2" w:rsidRDefault="004D2E3C" w:rsidP="00E029D2">
      <w:pPr>
        <w:spacing w:after="0" w:line="240" w:lineRule="auto"/>
        <w:jc w:val="left"/>
        <w:rPr>
          <w:rFonts w:asciiTheme="majorHAnsi" w:hAnsiTheme="majorHAnsi"/>
          <w:b/>
          <w:bCs/>
          <w:sz w:val="24"/>
          <w:szCs w:val="24"/>
        </w:rPr>
      </w:pPr>
      <w:proofErr w:type="spellStart"/>
      <w:r w:rsidRPr="00E029D2">
        <w:rPr>
          <w:rFonts w:asciiTheme="majorHAnsi" w:hAnsiTheme="majorHAnsi"/>
          <w:b/>
          <w:bCs/>
          <w:sz w:val="24"/>
          <w:szCs w:val="24"/>
        </w:rPr>
        <w:t>Κοιν</w:t>
      </w:r>
      <w:proofErr w:type="spellEnd"/>
      <w:r w:rsidRPr="00E029D2">
        <w:rPr>
          <w:rFonts w:asciiTheme="majorHAnsi" w:hAnsiTheme="majorHAnsi"/>
          <w:b/>
          <w:bCs/>
          <w:sz w:val="24"/>
          <w:szCs w:val="24"/>
        </w:rPr>
        <w:t xml:space="preserve">: «Πίνακας Αποδεκτών» </w:t>
      </w:r>
    </w:p>
    <w:p w:rsidR="004D2E3C" w:rsidRPr="00E029D2" w:rsidRDefault="00F33C90" w:rsidP="00E029D2">
      <w:pPr>
        <w:pStyle w:val="a7"/>
        <w:spacing w:before="360" w:after="240"/>
        <w:jc w:val="left"/>
        <w:rPr>
          <w:b/>
          <w:color w:val="auto"/>
          <w:sz w:val="24"/>
          <w:szCs w:val="24"/>
        </w:rPr>
      </w:pPr>
      <w:r w:rsidRPr="00E029D2">
        <w:rPr>
          <w:b/>
          <w:color w:val="auto"/>
          <w:sz w:val="24"/>
          <w:szCs w:val="24"/>
        </w:rPr>
        <w:t xml:space="preserve">Θέμα: </w:t>
      </w:r>
      <w:r w:rsidR="004D2E3C" w:rsidRPr="00E029D2">
        <w:rPr>
          <w:b/>
          <w:color w:val="auto"/>
          <w:sz w:val="24"/>
          <w:szCs w:val="24"/>
        </w:rPr>
        <w:t>«</w:t>
      </w:r>
      <w:r w:rsidR="009F5541" w:rsidRPr="00E029D2">
        <w:rPr>
          <w:b/>
          <w:color w:val="auto"/>
          <w:sz w:val="24"/>
          <w:szCs w:val="24"/>
        </w:rPr>
        <w:t>Κατάθεση προτ</w:t>
      </w:r>
      <w:r w:rsidR="003B7A83" w:rsidRPr="00E029D2">
        <w:rPr>
          <w:b/>
          <w:color w:val="auto"/>
          <w:sz w:val="24"/>
          <w:szCs w:val="24"/>
        </w:rPr>
        <w:t>άσ</w:t>
      </w:r>
      <w:r w:rsidR="009F5541" w:rsidRPr="00E029D2">
        <w:rPr>
          <w:b/>
          <w:color w:val="auto"/>
          <w:sz w:val="24"/>
          <w:szCs w:val="24"/>
        </w:rPr>
        <w:t xml:space="preserve">εων </w:t>
      </w:r>
      <w:r w:rsidR="003B7A83" w:rsidRPr="00E029D2">
        <w:rPr>
          <w:b/>
          <w:color w:val="auto"/>
          <w:sz w:val="24"/>
          <w:szCs w:val="24"/>
        </w:rPr>
        <w:t xml:space="preserve">της </w:t>
      </w:r>
      <w:r w:rsidR="009F5541" w:rsidRPr="00E029D2">
        <w:rPr>
          <w:b/>
          <w:color w:val="auto"/>
          <w:sz w:val="24"/>
          <w:szCs w:val="24"/>
        </w:rPr>
        <w:t xml:space="preserve">Ε.Σ.Α.μεΑ. </w:t>
      </w:r>
      <w:r w:rsidR="003B7A83" w:rsidRPr="00E029D2">
        <w:rPr>
          <w:b/>
          <w:color w:val="auto"/>
          <w:sz w:val="24"/>
          <w:szCs w:val="24"/>
        </w:rPr>
        <w:t>για</w:t>
      </w:r>
      <w:r w:rsidR="009F5541" w:rsidRPr="00E029D2">
        <w:rPr>
          <w:b/>
          <w:color w:val="auto"/>
          <w:sz w:val="24"/>
          <w:szCs w:val="24"/>
        </w:rPr>
        <w:t xml:space="preserve"> </w:t>
      </w:r>
      <w:r w:rsidR="00323972" w:rsidRPr="00E029D2">
        <w:rPr>
          <w:b/>
          <w:color w:val="auto"/>
          <w:sz w:val="24"/>
          <w:szCs w:val="24"/>
        </w:rPr>
        <w:t xml:space="preserve"> </w:t>
      </w:r>
      <w:r w:rsidR="009F5541" w:rsidRPr="00E029D2">
        <w:rPr>
          <w:b/>
          <w:color w:val="auto"/>
          <w:sz w:val="24"/>
          <w:szCs w:val="24"/>
        </w:rPr>
        <w:t>το σχέδιο νόμου: «</w:t>
      </w:r>
      <w:r w:rsidR="00207F36" w:rsidRPr="00E029D2">
        <w:rPr>
          <w:b/>
          <w:color w:val="auto"/>
          <w:sz w:val="24"/>
          <w:szCs w:val="24"/>
        </w:rPr>
        <w:t>Ρ</w:t>
      </w:r>
      <w:r w:rsidR="00B73E00" w:rsidRPr="00E029D2">
        <w:rPr>
          <w:b/>
          <w:color w:val="auto"/>
          <w:sz w:val="24"/>
          <w:szCs w:val="24"/>
        </w:rPr>
        <w:t>υθμίσεις</w:t>
      </w:r>
      <w:r w:rsidR="00207F36" w:rsidRPr="00E029D2">
        <w:rPr>
          <w:b/>
          <w:color w:val="auto"/>
          <w:sz w:val="24"/>
          <w:szCs w:val="24"/>
        </w:rPr>
        <w:t xml:space="preserve"> </w:t>
      </w:r>
      <w:r w:rsidR="00B73E00" w:rsidRPr="00E029D2">
        <w:rPr>
          <w:b/>
          <w:color w:val="auto"/>
          <w:sz w:val="24"/>
          <w:szCs w:val="24"/>
        </w:rPr>
        <w:t>για την Έρευνα</w:t>
      </w:r>
      <w:r w:rsidR="00207F36" w:rsidRPr="00E029D2">
        <w:rPr>
          <w:b/>
          <w:color w:val="auto"/>
          <w:sz w:val="24"/>
          <w:szCs w:val="24"/>
        </w:rPr>
        <w:t xml:space="preserve"> και άλλες διατάξεις</w:t>
      </w:r>
      <w:r w:rsidR="00261DE7" w:rsidRPr="00E029D2">
        <w:rPr>
          <w:b/>
          <w:color w:val="auto"/>
          <w:sz w:val="24"/>
          <w:szCs w:val="24"/>
        </w:rPr>
        <w:t>»</w:t>
      </w:r>
      <w:r w:rsidR="009F5541" w:rsidRPr="00E029D2">
        <w:rPr>
          <w:b/>
          <w:color w:val="auto"/>
          <w:sz w:val="24"/>
          <w:szCs w:val="24"/>
        </w:rPr>
        <w:t xml:space="preserve"> </w:t>
      </w:r>
    </w:p>
    <w:p w:rsidR="009529D3" w:rsidRPr="00E029D2" w:rsidRDefault="00207F36" w:rsidP="004D2E3C">
      <w:pPr>
        <w:rPr>
          <w:rFonts w:asciiTheme="majorHAnsi" w:eastAsiaTheme="minorHAnsi" w:hAnsiTheme="majorHAnsi" w:cstheme="minorBidi"/>
          <w:b/>
          <w:color w:val="auto"/>
          <w:sz w:val="24"/>
          <w:szCs w:val="24"/>
        </w:rPr>
      </w:pPr>
      <w:r w:rsidRPr="00E029D2">
        <w:rPr>
          <w:rFonts w:asciiTheme="majorHAnsi" w:eastAsiaTheme="minorHAnsi" w:hAnsiTheme="majorHAnsi" w:cstheme="minorBidi"/>
          <w:b/>
          <w:color w:val="auto"/>
          <w:sz w:val="24"/>
          <w:szCs w:val="24"/>
        </w:rPr>
        <w:t>Κύριε Πρόεδρε</w:t>
      </w:r>
      <w:r w:rsidR="009529D3" w:rsidRPr="00E029D2">
        <w:rPr>
          <w:rFonts w:asciiTheme="majorHAnsi" w:eastAsiaTheme="minorHAnsi" w:hAnsiTheme="majorHAnsi" w:cstheme="minorBidi"/>
          <w:b/>
          <w:color w:val="auto"/>
          <w:sz w:val="24"/>
          <w:szCs w:val="24"/>
        </w:rPr>
        <w:t xml:space="preserve">, </w:t>
      </w:r>
    </w:p>
    <w:p w:rsidR="009529D3" w:rsidRPr="00E029D2" w:rsidRDefault="009529D3" w:rsidP="004D2E3C">
      <w:pPr>
        <w:rPr>
          <w:rFonts w:asciiTheme="majorHAnsi" w:eastAsiaTheme="minorHAnsi" w:hAnsiTheme="majorHAnsi" w:cstheme="minorBidi"/>
          <w:b/>
          <w:color w:val="auto"/>
          <w:sz w:val="24"/>
          <w:szCs w:val="24"/>
        </w:rPr>
      </w:pPr>
      <w:r w:rsidRPr="00E029D2">
        <w:rPr>
          <w:rFonts w:asciiTheme="majorHAnsi" w:eastAsiaTheme="minorHAnsi" w:hAnsiTheme="majorHAnsi" w:cstheme="minorBidi"/>
          <w:b/>
          <w:color w:val="auto"/>
          <w:sz w:val="24"/>
          <w:szCs w:val="24"/>
        </w:rPr>
        <w:t xml:space="preserve">Κυρίες Κύριοι Βουλευτές, </w:t>
      </w:r>
    </w:p>
    <w:p w:rsidR="009529D3" w:rsidRPr="00E029D2" w:rsidRDefault="00E029D2" w:rsidP="004D2E3C">
      <w:pPr>
        <w:rPr>
          <w:rFonts w:asciiTheme="majorHAnsi" w:eastAsiaTheme="minorHAnsi" w:hAnsiTheme="majorHAnsi" w:cstheme="minorBidi"/>
          <w:color w:val="auto"/>
          <w:sz w:val="24"/>
          <w:szCs w:val="24"/>
        </w:rPr>
      </w:pPr>
      <w:r w:rsidRPr="00E029D2">
        <w:rPr>
          <w:rFonts w:asciiTheme="majorHAnsi" w:eastAsiaTheme="minorHAnsi" w:hAnsiTheme="majorHAnsi" w:cstheme="minorBidi"/>
          <w:color w:val="auto"/>
          <w:sz w:val="24"/>
          <w:szCs w:val="24"/>
        </w:rPr>
        <w:t>Η Ε.</w:t>
      </w:r>
      <w:r w:rsidR="009529D3" w:rsidRPr="00E029D2">
        <w:rPr>
          <w:rFonts w:asciiTheme="majorHAnsi" w:eastAsiaTheme="minorHAnsi" w:hAnsiTheme="majorHAnsi" w:cstheme="minorBidi"/>
          <w:color w:val="auto"/>
          <w:sz w:val="24"/>
          <w:szCs w:val="24"/>
        </w:rPr>
        <w:t>Σ.Α</w:t>
      </w:r>
      <w:r w:rsidR="00126A47" w:rsidRPr="00E029D2">
        <w:rPr>
          <w:rFonts w:asciiTheme="majorHAnsi" w:eastAsiaTheme="minorHAnsi" w:hAnsiTheme="majorHAnsi" w:cstheme="minorBidi"/>
          <w:color w:val="auto"/>
          <w:sz w:val="24"/>
          <w:szCs w:val="24"/>
        </w:rPr>
        <w:t>.</w:t>
      </w:r>
      <w:r w:rsidR="009529D3" w:rsidRPr="00E029D2">
        <w:rPr>
          <w:rFonts w:asciiTheme="majorHAnsi" w:eastAsiaTheme="minorHAnsi" w:hAnsiTheme="majorHAnsi" w:cstheme="minorBidi"/>
          <w:color w:val="auto"/>
          <w:sz w:val="24"/>
          <w:szCs w:val="24"/>
        </w:rPr>
        <w:t>μεΑ</w:t>
      </w:r>
      <w:r w:rsidRPr="00E029D2">
        <w:rPr>
          <w:rFonts w:asciiTheme="majorHAnsi" w:eastAsiaTheme="minorHAnsi" w:hAnsiTheme="majorHAnsi" w:cstheme="minorBidi"/>
          <w:color w:val="auto"/>
          <w:sz w:val="24"/>
          <w:szCs w:val="24"/>
        </w:rPr>
        <w:t>.</w:t>
      </w:r>
      <w:r w:rsidR="009529D3" w:rsidRPr="00E029D2">
        <w:rPr>
          <w:rFonts w:asciiTheme="majorHAnsi" w:eastAsiaTheme="minorHAnsi" w:hAnsiTheme="majorHAnsi" w:cstheme="minorBidi"/>
          <w:color w:val="auto"/>
          <w:sz w:val="24"/>
          <w:szCs w:val="24"/>
        </w:rPr>
        <w:t xml:space="preserve"> με το παρόν έγγραφό της καταθέτει τις προτάσεις της επί του νομοσχεδίου που κα</w:t>
      </w:r>
      <w:r w:rsidR="009D239A" w:rsidRPr="00E029D2">
        <w:rPr>
          <w:rFonts w:asciiTheme="majorHAnsi" w:eastAsiaTheme="minorHAnsi" w:hAnsiTheme="majorHAnsi" w:cstheme="minorBidi"/>
          <w:color w:val="auto"/>
          <w:sz w:val="24"/>
          <w:szCs w:val="24"/>
        </w:rPr>
        <w:t xml:space="preserve">τατέθηκε </w:t>
      </w:r>
      <w:r w:rsidR="003320B6" w:rsidRPr="00E029D2">
        <w:rPr>
          <w:rFonts w:asciiTheme="majorHAnsi" w:eastAsiaTheme="minorHAnsi" w:hAnsiTheme="majorHAnsi" w:cstheme="minorBidi"/>
          <w:color w:val="auto"/>
          <w:sz w:val="24"/>
          <w:szCs w:val="24"/>
        </w:rPr>
        <w:t xml:space="preserve">στη Βουλή </w:t>
      </w:r>
      <w:r w:rsidR="009529D3" w:rsidRPr="00E029D2">
        <w:rPr>
          <w:rFonts w:asciiTheme="majorHAnsi" w:eastAsiaTheme="minorHAnsi" w:hAnsiTheme="majorHAnsi" w:cstheme="minorBidi"/>
          <w:color w:val="auto"/>
          <w:sz w:val="24"/>
          <w:szCs w:val="24"/>
        </w:rPr>
        <w:t xml:space="preserve">με θέμα </w:t>
      </w:r>
      <w:r w:rsidR="009529D3" w:rsidRPr="00E029D2">
        <w:rPr>
          <w:rFonts w:asciiTheme="majorHAnsi" w:eastAsiaTheme="minorHAnsi" w:hAnsiTheme="majorHAnsi" w:cstheme="minorBidi"/>
          <w:b/>
          <w:color w:val="auto"/>
          <w:sz w:val="24"/>
          <w:szCs w:val="24"/>
        </w:rPr>
        <w:t>«</w:t>
      </w:r>
      <w:r w:rsidR="00B73E00" w:rsidRPr="00E029D2">
        <w:rPr>
          <w:rFonts w:asciiTheme="majorHAnsi" w:eastAsiaTheme="minorHAnsi" w:hAnsiTheme="majorHAnsi" w:cstheme="minorBidi"/>
          <w:b/>
          <w:color w:val="auto"/>
          <w:sz w:val="24"/>
          <w:szCs w:val="24"/>
        </w:rPr>
        <w:t>Ρυθμίσεις για την Έρευνα</w:t>
      </w:r>
      <w:r w:rsidR="00207F36" w:rsidRPr="00E029D2">
        <w:rPr>
          <w:rFonts w:asciiTheme="majorHAnsi" w:eastAsiaTheme="minorHAnsi" w:hAnsiTheme="majorHAnsi" w:cstheme="minorBidi"/>
          <w:b/>
          <w:color w:val="auto"/>
          <w:sz w:val="24"/>
          <w:szCs w:val="24"/>
        </w:rPr>
        <w:t xml:space="preserve"> και άλλες διατάξεις</w:t>
      </w:r>
      <w:r w:rsidR="005C4CD5" w:rsidRPr="00E029D2">
        <w:rPr>
          <w:rFonts w:asciiTheme="majorHAnsi" w:eastAsiaTheme="minorHAnsi" w:hAnsiTheme="majorHAnsi" w:cstheme="minorBidi"/>
          <w:b/>
          <w:color w:val="auto"/>
          <w:sz w:val="24"/>
          <w:szCs w:val="24"/>
        </w:rPr>
        <w:t>»</w:t>
      </w:r>
      <w:r w:rsidR="005C4CD5" w:rsidRPr="00E029D2">
        <w:rPr>
          <w:rFonts w:asciiTheme="majorHAnsi" w:eastAsiaTheme="minorHAnsi" w:hAnsiTheme="majorHAnsi" w:cstheme="minorBidi"/>
          <w:color w:val="auto"/>
          <w:sz w:val="24"/>
          <w:szCs w:val="24"/>
        </w:rPr>
        <w:t xml:space="preserve"> και </w:t>
      </w:r>
      <w:r w:rsidR="005C4CD5" w:rsidRPr="00E029D2">
        <w:rPr>
          <w:rFonts w:asciiTheme="majorHAnsi" w:eastAsiaTheme="minorHAnsi" w:hAnsiTheme="majorHAnsi" w:cstheme="minorBidi"/>
          <w:b/>
          <w:color w:val="auto"/>
          <w:sz w:val="24"/>
          <w:szCs w:val="24"/>
        </w:rPr>
        <w:t xml:space="preserve">ζητάει να κληθεί η Ε.Σ.Α.μεΑ. σε ακρόαση κατά τη συζήτησή του </w:t>
      </w:r>
      <w:r w:rsidR="000E2FC0" w:rsidRPr="00E029D2">
        <w:rPr>
          <w:rFonts w:asciiTheme="majorHAnsi" w:eastAsiaTheme="minorHAnsi" w:hAnsiTheme="majorHAnsi" w:cstheme="minorBidi"/>
          <w:b/>
          <w:color w:val="auto"/>
          <w:sz w:val="24"/>
          <w:szCs w:val="24"/>
        </w:rPr>
        <w:t>στη συνεδρίαση της</w:t>
      </w:r>
      <w:r w:rsidR="005C4CD5" w:rsidRPr="00E029D2">
        <w:rPr>
          <w:rFonts w:asciiTheme="majorHAnsi" w:eastAsiaTheme="minorHAnsi" w:hAnsiTheme="majorHAnsi" w:cstheme="minorBidi"/>
          <w:b/>
          <w:color w:val="auto"/>
          <w:sz w:val="24"/>
          <w:szCs w:val="24"/>
        </w:rPr>
        <w:t xml:space="preserve"> Βουλή</w:t>
      </w:r>
      <w:r w:rsidR="000E2FC0" w:rsidRPr="00E029D2">
        <w:rPr>
          <w:rFonts w:asciiTheme="majorHAnsi" w:eastAsiaTheme="minorHAnsi" w:hAnsiTheme="majorHAnsi" w:cstheme="minorBidi"/>
          <w:b/>
          <w:color w:val="auto"/>
          <w:sz w:val="24"/>
          <w:szCs w:val="24"/>
        </w:rPr>
        <w:t>ς</w:t>
      </w:r>
      <w:r w:rsidR="005C4CD5" w:rsidRPr="00E029D2">
        <w:rPr>
          <w:rFonts w:asciiTheme="majorHAnsi" w:eastAsiaTheme="minorHAnsi" w:hAnsiTheme="majorHAnsi" w:cstheme="minorBidi"/>
          <w:color w:val="auto"/>
          <w:sz w:val="24"/>
          <w:szCs w:val="24"/>
        </w:rPr>
        <w:t xml:space="preserve">, προκειμένου να αναπτύξει τις προτάσεις της. </w:t>
      </w:r>
    </w:p>
    <w:p w:rsidR="00D47C50" w:rsidRPr="00E029D2" w:rsidRDefault="00D47C50" w:rsidP="00D47C50">
      <w:pPr>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 xml:space="preserve">Η Εθνική Συνομοσπονδία Ατόμων με Αναπηρία (Ε.Σ.Α.μεΑ.)  λαμβάνοντας υπόψη: </w:t>
      </w:r>
    </w:p>
    <w:p w:rsidR="00D47C50" w:rsidRPr="00E029D2" w:rsidRDefault="00D47C50" w:rsidP="00D47C50">
      <w:pPr>
        <w:spacing w:after="0" w:line="240" w:lineRule="auto"/>
        <w:rPr>
          <w:rFonts w:asciiTheme="majorHAnsi" w:eastAsia="Calibri" w:hAnsiTheme="majorHAnsi"/>
          <w:b/>
          <w:bCs/>
          <w:color w:val="auto"/>
          <w:sz w:val="24"/>
          <w:szCs w:val="24"/>
          <w:u w:val="single"/>
        </w:rPr>
      </w:pPr>
    </w:p>
    <w:p w:rsidR="00D47C50" w:rsidRPr="00E029D2" w:rsidRDefault="00D47C50" w:rsidP="00D47C50">
      <w:pPr>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 την παρ. 2 του άρθρου 4 του Συντάγματος σύμφωνα με το οποίο «</w:t>
      </w:r>
      <w:r w:rsidRPr="00E029D2">
        <w:rPr>
          <w:rFonts w:asciiTheme="majorHAnsi" w:eastAsia="Calibri" w:hAnsiTheme="majorHAnsi"/>
          <w:i/>
          <w:iCs/>
          <w:color w:val="auto"/>
          <w:sz w:val="24"/>
          <w:szCs w:val="24"/>
          <w:lang w:eastAsia="el-GR"/>
        </w:rPr>
        <w:t>Οι Έλληνες και οι Ελληνίδες έχουν ίσα δικαιώματα και υποχρεώσεις</w:t>
      </w:r>
      <w:r w:rsidRPr="00E029D2">
        <w:rPr>
          <w:rFonts w:asciiTheme="majorHAnsi" w:eastAsia="Calibri" w:hAnsiTheme="majorHAnsi"/>
          <w:color w:val="auto"/>
          <w:sz w:val="24"/>
          <w:szCs w:val="24"/>
          <w:lang w:eastAsia="el-GR"/>
        </w:rPr>
        <w:t xml:space="preserve">.», </w:t>
      </w:r>
    </w:p>
    <w:p w:rsidR="00D47C50" w:rsidRPr="00E029D2" w:rsidRDefault="00D47C50" w:rsidP="00D47C50">
      <w:pPr>
        <w:spacing w:after="0" w:line="240" w:lineRule="auto"/>
        <w:rPr>
          <w:rFonts w:asciiTheme="majorHAnsi" w:eastAsia="Calibri" w:hAnsiTheme="majorHAnsi"/>
          <w:color w:val="auto"/>
          <w:sz w:val="24"/>
          <w:szCs w:val="24"/>
          <w:lang w:eastAsia="el-GR"/>
        </w:rPr>
      </w:pPr>
    </w:p>
    <w:p w:rsidR="00D47C50" w:rsidRPr="00E029D2" w:rsidRDefault="00D47C50" w:rsidP="00D47C50">
      <w:pPr>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 xml:space="preserve">- την παρ. 6 του Άρθρου 21 του Συντάγματος της χώρας, σύμφωνα με την οποία </w:t>
      </w:r>
      <w:r w:rsidRPr="00E029D2">
        <w:rPr>
          <w:rFonts w:asciiTheme="majorHAnsi" w:eastAsia="Calibri" w:hAnsiTheme="majorHAnsi"/>
          <w:i/>
          <w:iCs/>
          <w:color w:val="auto"/>
          <w:sz w:val="24"/>
          <w:szCs w:val="24"/>
          <w:lang w:eastAsia="el-GR"/>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E029D2">
        <w:rPr>
          <w:rFonts w:asciiTheme="majorHAnsi" w:eastAsia="Calibri" w:hAnsiTheme="majorHAnsi"/>
          <w:color w:val="auto"/>
          <w:sz w:val="24"/>
          <w:szCs w:val="24"/>
          <w:lang w:eastAsia="el-GR"/>
        </w:rPr>
        <w:t xml:space="preserve">, </w:t>
      </w:r>
    </w:p>
    <w:p w:rsidR="00D47C50" w:rsidRPr="00E029D2" w:rsidRDefault="00D47C50" w:rsidP="00D47C50">
      <w:pPr>
        <w:spacing w:after="0" w:line="240" w:lineRule="auto"/>
        <w:rPr>
          <w:rFonts w:asciiTheme="majorHAnsi" w:eastAsia="Calibri" w:hAnsiTheme="majorHAnsi"/>
          <w:color w:val="auto"/>
          <w:sz w:val="24"/>
          <w:szCs w:val="24"/>
          <w:lang w:eastAsia="el-GR"/>
        </w:rPr>
      </w:pPr>
    </w:p>
    <w:p w:rsidR="00D47C50" w:rsidRPr="00E029D2" w:rsidRDefault="00D47C50" w:rsidP="00D47C50">
      <w:pPr>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 xml:space="preserve">- τα άρθρα 4 </w:t>
      </w:r>
      <w:r w:rsidRPr="00E029D2">
        <w:rPr>
          <w:rFonts w:asciiTheme="majorHAnsi" w:eastAsia="Calibri" w:hAnsiTheme="majorHAnsi"/>
          <w:i/>
          <w:iCs/>
          <w:color w:val="auto"/>
          <w:sz w:val="24"/>
          <w:szCs w:val="24"/>
          <w:lang w:eastAsia="el-GR"/>
        </w:rPr>
        <w:t>«Γενικές υποχρεώσεις»</w:t>
      </w:r>
      <w:r w:rsidRPr="00E029D2">
        <w:rPr>
          <w:rFonts w:asciiTheme="majorHAnsi" w:eastAsia="Calibri" w:hAnsiTheme="majorHAnsi"/>
          <w:color w:val="auto"/>
          <w:sz w:val="24"/>
          <w:szCs w:val="24"/>
          <w:lang w:eastAsia="el-GR"/>
        </w:rPr>
        <w:t xml:space="preserve"> και 9</w:t>
      </w:r>
      <w:r w:rsidRPr="00E029D2">
        <w:rPr>
          <w:rFonts w:asciiTheme="majorHAnsi" w:eastAsia="Calibri" w:hAnsiTheme="majorHAnsi"/>
          <w:i/>
          <w:iCs/>
          <w:color w:val="auto"/>
          <w:sz w:val="24"/>
          <w:szCs w:val="24"/>
          <w:lang w:eastAsia="el-GR"/>
        </w:rPr>
        <w:t xml:space="preserve"> «Προσβασιμότητα»</w:t>
      </w:r>
      <w:r w:rsidRPr="00E029D2">
        <w:rPr>
          <w:rFonts w:asciiTheme="majorHAnsi" w:eastAsia="Calibri" w:hAnsiTheme="majorHAnsi"/>
          <w:color w:val="auto"/>
          <w:sz w:val="24"/>
          <w:szCs w:val="24"/>
          <w:lang w:eastAsia="el-GR"/>
        </w:rPr>
        <w:t xml:space="preserve"> της Διεθνούς Σύμβασης για τα Δικαιώματα των ατόμων με αναπηρία, την οποία η χώρα μας μαζί με το προαιρετικό πρωτόκολλό της επικύρωσε με τον μέσω του Ν.4074/2012 (ΦΕΚ 88 Α΄/11.04.2012), και ως εκ τούτου οφείλει να θέσει σε εφαρμογή σε εθνικό επίπεδο, στα οποία αναφέρονται τα εξής:</w:t>
      </w:r>
    </w:p>
    <w:p w:rsidR="00D47C50" w:rsidRPr="00E029D2" w:rsidRDefault="00D47C50" w:rsidP="00D47C50">
      <w:pPr>
        <w:spacing w:after="0" w:line="240" w:lineRule="auto"/>
        <w:rPr>
          <w:rFonts w:asciiTheme="majorHAnsi" w:eastAsia="Calibri" w:hAnsiTheme="majorHAnsi"/>
          <w:color w:val="auto"/>
          <w:sz w:val="24"/>
          <w:szCs w:val="24"/>
          <w:lang w:eastAsia="el-GR"/>
        </w:rPr>
      </w:pPr>
    </w:p>
    <w:p w:rsidR="00E029D2" w:rsidRDefault="00D47C50" w:rsidP="00D47C50">
      <w:pPr>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(άρθρο 4) «</w:t>
      </w:r>
      <w:r w:rsidRPr="00E029D2">
        <w:rPr>
          <w:rFonts w:asciiTheme="majorHAnsi" w:eastAsia="Calibri" w:hAnsiTheme="majorHAnsi"/>
          <w:i/>
          <w:iCs/>
          <w:color w:val="auto"/>
          <w:sz w:val="24"/>
          <w:szCs w:val="24"/>
          <w:lang w:eastAsia="el-GR"/>
        </w:rPr>
        <w:t xml:space="preserve">1. Τα Συμβαλλόμενα Κράτη αναλαμβάνουν να διασφαλίζουν και να προάγουν την πλήρη υλοποίηση όλων των ανθρωπίνων δικαιωμάτων και </w:t>
      </w:r>
      <w:r w:rsidRPr="00E029D2">
        <w:rPr>
          <w:rFonts w:asciiTheme="majorHAnsi" w:eastAsia="Calibri" w:hAnsiTheme="majorHAnsi"/>
          <w:i/>
          <w:iCs/>
          <w:color w:val="auto"/>
          <w:sz w:val="24"/>
          <w:szCs w:val="24"/>
          <w:lang w:eastAsia="el-GR"/>
        </w:rPr>
        <w:lastRenderedPageBreak/>
        <w:t>θεμελιωδών ελευθεριών για όλα τα άτομα με αναπηρίες, χωρίς διακρίσεις οποιουδήποτε είδους βάσει της αναπηρίας. Προς το σκοπό αυτό, τα Συμβαλλόμενα Κράτη αναλαμβάνουν: […]</w:t>
      </w:r>
      <w:bookmarkStart w:id="1" w:name="systran_seg_35"/>
      <w:r w:rsidRPr="00E029D2">
        <w:rPr>
          <w:rFonts w:asciiTheme="majorHAnsi" w:eastAsia="Calibri" w:hAnsiTheme="majorHAnsi"/>
          <w:i/>
          <w:iCs/>
          <w:color w:val="auto"/>
          <w:sz w:val="24"/>
          <w:szCs w:val="24"/>
          <w:lang w:eastAsia="el-GR"/>
        </w:rPr>
        <w:t xml:space="preserve"> </w:t>
      </w:r>
      <w:proofErr w:type="spellStart"/>
      <w:r w:rsidRPr="00E029D2">
        <w:rPr>
          <w:rFonts w:asciiTheme="majorHAnsi" w:eastAsia="Calibri" w:hAnsiTheme="majorHAnsi"/>
          <w:i/>
          <w:iCs/>
          <w:color w:val="auto"/>
          <w:sz w:val="24"/>
          <w:szCs w:val="24"/>
          <w:lang w:eastAsia="el-GR"/>
        </w:rPr>
        <w:t>στ</w:t>
      </w:r>
      <w:proofErr w:type="spellEnd"/>
      <w:r w:rsidRPr="00E029D2">
        <w:rPr>
          <w:rFonts w:asciiTheme="majorHAnsi" w:eastAsia="Calibri" w:hAnsiTheme="majorHAnsi"/>
          <w:i/>
          <w:iCs/>
          <w:color w:val="auto"/>
          <w:sz w:val="24"/>
          <w:szCs w:val="24"/>
          <w:lang w:eastAsia="el-GR"/>
        </w:rPr>
        <w:t>. Να αναλάβουν ή να προάγουν την έρευνα και ανάπτυξη των καθολικά σχεδιασμένων αγαθών, υπηρεσιών, εξοπλισμού και εγκαταστάσεων, όπως αυτό καθορίζεται στο άρθρο 2 της παρούσας Σύμβασης, που θα πρέπει να απαιτήσουν την ελάχιστη δυνατή προσαρμογή και το λιγότερο κόστος, προκειμένου να ικανοποιούνται οι συγκεκριμένες ανάγκες ενός ατόμου με αναπηρίες, να προάγουν τη διαθεσιμότητα και τη χρήση τους και να προάγουν τον καθολικό σχεδιασμό κατά την ανάπτυξη των προτύπων και κατευθυντήριων οδηγιών</w:t>
      </w:r>
      <w:bookmarkEnd w:id="1"/>
      <w:r w:rsidRPr="00E029D2">
        <w:rPr>
          <w:rFonts w:asciiTheme="majorHAnsi" w:eastAsia="Calibri" w:hAnsiTheme="majorHAnsi"/>
          <w:i/>
          <w:iCs/>
          <w:color w:val="auto"/>
          <w:sz w:val="24"/>
          <w:szCs w:val="24"/>
          <w:lang w:eastAsia="el-GR"/>
        </w:rPr>
        <w:t xml:space="preserve">, </w:t>
      </w:r>
      <w:bookmarkStart w:id="2" w:name="systran_seg_36"/>
      <w:r w:rsidRPr="00E029D2">
        <w:rPr>
          <w:rFonts w:asciiTheme="majorHAnsi" w:eastAsia="Calibri" w:hAnsiTheme="majorHAnsi"/>
          <w:i/>
          <w:iCs/>
          <w:color w:val="auto"/>
          <w:sz w:val="24"/>
          <w:szCs w:val="24"/>
          <w:lang w:eastAsia="el-GR"/>
        </w:rPr>
        <w:t>ζ.</w:t>
      </w:r>
      <w:r w:rsidR="00E029D2" w:rsidRPr="00E029D2">
        <w:rPr>
          <w:rFonts w:asciiTheme="majorHAnsi" w:eastAsia="Calibri" w:hAnsiTheme="majorHAnsi"/>
          <w:i/>
          <w:iCs/>
          <w:color w:val="auto"/>
          <w:sz w:val="24"/>
          <w:szCs w:val="24"/>
          <w:lang w:eastAsia="el-GR"/>
        </w:rPr>
        <w:t xml:space="preserve"> </w:t>
      </w:r>
      <w:r w:rsidRPr="00E029D2">
        <w:rPr>
          <w:rFonts w:asciiTheme="majorHAnsi" w:eastAsia="Calibri" w:hAnsiTheme="majorHAnsi"/>
          <w:i/>
          <w:iCs/>
          <w:color w:val="auto"/>
          <w:sz w:val="24"/>
          <w:szCs w:val="24"/>
          <w:lang w:eastAsia="el-GR"/>
        </w:rPr>
        <w:t xml:space="preserve"> Να αναλάβουν ή προάγουν την έρευνα και ανάπτυξη και να προάγουν τη διαθεσιμότητα και χρήση των νέων τεχνολογιών, συμπεριλαμβανομένων και των τεχνολογιών της πληροφορίες και των επικοινωνιών, των βοηθημάτων κινητικότητας, των συσκευών και υποβοηθητικών τεχνολογιών, τα οποία είναι κατάλληλα για τα άτομα με αναπηρίες, δίνοντας προτεραιότητα στις τεχνολογίες με προσιτό κόστος</w:t>
      </w:r>
      <w:bookmarkEnd w:id="2"/>
      <w:r w:rsidRPr="00E029D2">
        <w:rPr>
          <w:rFonts w:asciiTheme="majorHAnsi" w:eastAsia="Calibri" w:hAnsiTheme="majorHAnsi"/>
          <w:color w:val="auto"/>
          <w:sz w:val="24"/>
          <w:szCs w:val="24"/>
          <w:lang w:eastAsia="el-GR"/>
        </w:rPr>
        <w:t>, […]»,</w:t>
      </w:r>
    </w:p>
    <w:p w:rsidR="00E029D2" w:rsidRPr="00E029D2" w:rsidRDefault="00E029D2" w:rsidP="00D47C50">
      <w:pPr>
        <w:spacing w:after="0" w:line="240" w:lineRule="auto"/>
        <w:rPr>
          <w:rFonts w:asciiTheme="majorHAnsi" w:eastAsia="Calibri" w:hAnsiTheme="majorHAnsi"/>
          <w:color w:val="auto"/>
          <w:sz w:val="24"/>
          <w:szCs w:val="24"/>
          <w:lang w:eastAsia="el-GR"/>
        </w:rPr>
      </w:pPr>
    </w:p>
    <w:p w:rsidR="00D47C50" w:rsidRPr="00E029D2" w:rsidRDefault="00D47C50" w:rsidP="00D47C50">
      <w:pPr>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 xml:space="preserve">(άρθρο 9) «1. </w:t>
      </w:r>
      <w:r w:rsidRPr="00E029D2">
        <w:rPr>
          <w:rFonts w:asciiTheme="majorHAnsi" w:eastAsia="Calibri" w:hAnsiTheme="majorHAnsi"/>
          <w:i/>
          <w:iCs/>
          <w:color w:val="auto"/>
          <w:sz w:val="24"/>
          <w:szCs w:val="24"/>
          <w:lang w:eastAsia="el-GR"/>
        </w:rPr>
        <w:t>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Pr="00E029D2">
        <w:rPr>
          <w:rFonts w:asciiTheme="majorHAnsi" w:eastAsia="Calibri" w:hAnsiTheme="majorHAnsi"/>
          <w:color w:val="auto"/>
          <w:sz w:val="24"/>
          <w:szCs w:val="24"/>
          <w:lang w:eastAsia="el-GR"/>
        </w:rPr>
        <w:t xml:space="preserve">». </w:t>
      </w:r>
    </w:p>
    <w:p w:rsidR="00D47C50" w:rsidRPr="00E029D2" w:rsidRDefault="00D47C50" w:rsidP="00D47C50">
      <w:pPr>
        <w:spacing w:after="0" w:line="240" w:lineRule="auto"/>
        <w:rPr>
          <w:rFonts w:asciiTheme="majorHAnsi" w:eastAsia="Calibri" w:hAnsiTheme="majorHAnsi"/>
          <w:color w:val="auto"/>
          <w:sz w:val="24"/>
          <w:szCs w:val="24"/>
          <w:lang w:eastAsia="el-GR"/>
        </w:rPr>
      </w:pPr>
    </w:p>
    <w:p w:rsidR="00D47C50" w:rsidRPr="00E029D2" w:rsidRDefault="00D47C50" w:rsidP="00D47C50">
      <w:pPr>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 xml:space="preserve">- το άρθρο 7 του Κανονισμού (ΕΕ) 1303/2013 </w:t>
      </w:r>
      <w:r w:rsidRPr="00E029D2">
        <w:rPr>
          <w:rFonts w:asciiTheme="majorHAnsi" w:eastAsia="Calibri" w:hAnsiTheme="majorHAnsi"/>
          <w:i/>
          <w:iCs/>
          <w:color w:val="auto"/>
          <w:sz w:val="24"/>
          <w:szCs w:val="24"/>
          <w:lang w:eastAsia="el-GR"/>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w:t>
      </w:r>
      <w:r w:rsidRPr="00E029D2">
        <w:rPr>
          <w:rFonts w:asciiTheme="majorHAnsi" w:eastAsia="Calibri" w:hAnsiTheme="majorHAnsi"/>
          <w:i/>
          <w:iCs/>
          <w:color w:val="auto"/>
          <w:sz w:val="24"/>
          <w:szCs w:val="24"/>
          <w:lang w:val="en-US" w:eastAsia="el-GR"/>
        </w:rPr>
        <w:t> </w:t>
      </w:r>
      <w:r w:rsidRPr="00E029D2">
        <w:rPr>
          <w:rFonts w:asciiTheme="majorHAnsi" w:eastAsia="Calibri" w:hAnsiTheme="majorHAnsi"/>
          <w:i/>
          <w:iCs/>
          <w:color w:val="auto"/>
          <w:sz w:val="24"/>
          <w:szCs w:val="24"/>
          <w:lang w:eastAsia="el-GR"/>
        </w:rPr>
        <w:t>1083/2006»</w:t>
      </w:r>
      <w:r w:rsidRPr="00E029D2">
        <w:rPr>
          <w:rFonts w:asciiTheme="majorHAnsi" w:eastAsia="Calibri" w:hAnsiTheme="majorHAnsi"/>
          <w:color w:val="auto"/>
          <w:sz w:val="24"/>
          <w:szCs w:val="24"/>
          <w:lang w:eastAsia="el-GR"/>
        </w:rPr>
        <w:t>, σύμφωνα με το οποίο: «[….}Τα κράτη μέλη και η Επιτροπή λαμβάνουν τα κατάλληλα</w:t>
      </w:r>
      <w:r w:rsidRPr="00E029D2">
        <w:rPr>
          <w:rFonts w:asciiTheme="majorHAnsi" w:eastAsia="Calibri" w:hAnsiTheme="majorHAnsi"/>
          <w:i/>
          <w:iCs/>
          <w:color w:val="auto"/>
          <w:sz w:val="24"/>
          <w:szCs w:val="24"/>
          <w:lang w:eastAsia="el-GR"/>
        </w:rPr>
        <w:t xml:space="preserve">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 [..]», </w:t>
      </w:r>
    </w:p>
    <w:p w:rsidR="00D47C50" w:rsidRPr="00E029D2" w:rsidRDefault="00D47C50" w:rsidP="00D47C50">
      <w:pPr>
        <w:spacing w:after="0" w:line="240" w:lineRule="auto"/>
        <w:rPr>
          <w:rFonts w:asciiTheme="majorHAnsi" w:eastAsia="Calibri" w:hAnsiTheme="majorHAnsi"/>
          <w:b/>
          <w:bCs/>
          <w:color w:val="auto"/>
          <w:sz w:val="24"/>
          <w:szCs w:val="24"/>
          <w:u w:val="single"/>
        </w:rPr>
      </w:pPr>
    </w:p>
    <w:p w:rsidR="00D47C50" w:rsidRPr="00E029D2" w:rsidRDefault="00D47C50" w:rsidP="00D47C50">
      <w:pPr>
        <w:autoSpaceDE w:val="0"/>
        <w:autoSpaceDN w:val="0"/>
        <w:spacing w:after="0" w:line="240" w:lineRule="auto"/>
        <w:rPr>
          <w:rFonts w:asciiTheme="majorHAnsi" w:eastAsia="Calibri" w:hAnsiTheme="majorHAnsi"/>
          <w:color w:val="auto"/>
          <w:sz w:val="24"/>
          <w:szCs w:val="24"/>
          <w:lang w:eastAsia="el-GR"/>
        </w:rPr>
      </w:pPr>
      <w:r w:rsidRPr="00E029D2">
        <w:rPr>
          <w:rFonts w:asciiTheme="majorHAnsi" w:eastAsia="Calibri" w:hAnsiTheme="majorHAnsi"/>
          <w:color w:val="auto"/>
          <w:sz w:val="24"/>
          <w:szCs w:val="24"/>
          <w:lang w:eastAsia="el-GR"/>
        </w:rPr>
        <w:t>- τον Νόμο 3304/2005 Αρ. ΦΕΚ 16 Α΄/27.01.2005 «</w:t>
      </w:r>
      <w:r w:rsidRPr="00E029D2">
        <w:rPr>
          <w:rFonts w:asciiTheme="majorHAnsi" w:eastAsia="Calibri" w:hAnsiTheme="majorHAnsi"/>
          <w:i/>
          <w:iCs/>
          <w:color w:val="auto"/>
          <w:sz w:val="24"/>
          <w:szCs w:val="24"/>
          <w:lang w:eastAsia="el-GR"/>
        </w:rPr>
        <w:t>Εφαρμογή της Ίση Μεταχείρισης Εφαρμογή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w:t>
      </w:r>
      <w:r w:rsidRPr="00E029D2">
        <w:rPr>
          <w:rFonts w:asciiTheme="majorHAnsi" w:eastAsia="Calibri" w:hAnsiTheme="majorHAnsi"/>
          <w:color w:val="auto"/>
          <w:sz w:val="24"/>
          <w:szCs w:val="24"/>
          <w:lang w:eastAsia="el-GR"/>
        </w:rPr>
        <w:t xml:space="preserve"> στην εργασία και την απασχόληση, </w:t>
      </w:r>
    </w:p>
    <w:p w:rsidR="00D47C50" w:rsidRPr="00E029D2" w:rsidRDefault="00D47C50" w:rsidP="00D47C50">
      <w:pPr>
        <w:autoSpaceDE w:val="0"/>
        <w:autoSpaceDN w:val="0"/>
        <w:spacing w:after="0" w:line="240" w:lineRule="auto"/>
        <w:rPr>
          <w:rFonts w:asciiTheme="majorHAnsi" w:eastAsia="Calibri" w:hAnsiTheme="majorHAnsi"/>
          <w:color w:val="auto"/>
          <w:sz w:val="24"/>
          <w:szCs w:val="24"/>
        </w:rPr>
      </w:pPr>
    </w:p>
    <w:p w:rsidR="00D47C50" w:rsidRPr="00E029D2" w:rsidRDefault="00D47C50" w:rsidP="00D47C50">
      <w:pPr>
        <w:autoSpaceDE w:val="0"/>
        <w:autoSpaceDN w:val="0"/>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 xml:space="preserve">προτείνει τα εξής: </w:t>
      </w:r>
    </w:p>
    <w:p w:rsidR="00D47C50" w:rsidRPr="00E029D2" w:rsidRDefault="00D47C50" w:rsidP="00D47C50">
      <w:pPr>
        <w:spacing w:after="0" w:line="240" w:lineRule="auto"/>
        <w:rPr>
          <w:rFonts w:asciiTheme="majorHAnsi" w:eastAsia="Calibri" w:hAnsiTheme="majorHAnsi"/>
          <w:b/>
          <w:bCs/>
          <w:color w:val="auto"/>
          <w:sz w:val="24"/>
          <w:szCs w:val="24"/>
          <w:u w:val="single"/>
        </w:rPr>
      </w:pPr>
    </w:p>
    <w:p w:rsidR="00D47C50" w:rsidRPr="00E029D2" w:rsidRDefault="00D47C50" w:rsidP="00D47C50">
      <w:pPr>
        <w:spacing w:after="0" w:line="240" w:lineRule="auto"/>
        <w:rPr>
          <w:rFonts w:asciiTheme="majorHAnsi" w:eastAsia="Calibri" w:hAnsiTheme="majorHAnsi"/>
          <w:b/>
          <w:bCs/>
          <w:color w:val="auto"/>
          <w:sz w:val="24"/>
          <w:szCs w:val="24"/>
          <w:u w:val="single"/>
        </w:rPr>
      </w:pPr>
      <w:r w:rsidRPr="00E029D2">
        <w:rPr>
          <w:rFonts w:asciiTheme="majorHAnsi" w:eastAsia="Calibri" w:hAnsiTheme="majorHAnsi"/>
          <w:b/>
          <w:bCs/>
          <w:color w:val="auto"/>
          <w:sz w:val="24"/>
          <w:szCs w:val="24"/>
          <w:u w:val="single"/>
        </w:rPr>
        <w:t xml:space="preserve">Άρθρο 4 </w:t>
      </w: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 xml:space="preserve">Στην παράγραφο 1: </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 xml:space="preserve">-μετά το εδάφιο δ να συμπληρωθεί νέο εδάφιο ε) ως ακολούθως: </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b/>
          <w:bCs/>
          <w:color w:val="auto"/>
          <w:sz w:val="24"/>
          <w:szCs w:val="24"/>
        </w:rPr>
        <w:t xml:space="preserve">«ε) Η διασφάλιση της αρχής της μη διάκρισης στα άτομα με αναπηρία με την εφαρμογή εύλογων προσαρμογών, πολιτικής ίσων ευκαιριών στο πλαίσιο των προσλήψεων, στα επακόλουθα στάδια επαγγελματικής σταδιοδρομίας και στις επιτροπές επιλογής και αξιολόγησης σε συνδυασμό με την εφαρμογή κριτηρίων ποιότητας και επαγγελματικών προσόντων και παράλληλα η συμβολή στην προώθηση των ίσων ευκαιριών για τα άτομα με αναπηρία με υιοθέτηση και προώθηση των αρχών του Σχεδιασμού για Όλους στο σύνολο των ενεργειών, οι οποίες έχουν ως σκοπό τη μεθοδική και αποτελεσματική προώθηση της βασικής και εφαρμοσμένης έρευνας, της τεχνολογίας και της καινοτομίας στη χώρα, τη διαμόρφωση των επιλογών για το μέλλον και την πρόβλεψη των μέσων που απαιτούνται για την πραγμάτωση των σκοπών αυτών» </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 xml:space="preserve">-το εδάφιο </w:t>
      </w:r>
      <w:proofErr w:type="spellStart"/>
      <w:r w:rsidRPr="00E029D2">
        <w:rPr>
          <w:rFonts w:asciiTheme="majorHAnsi" w:eastAsia="Calibri" w:hAnsiTheme="majorHAnsi"/>
          <w:color w:val="auto"/>
          <w:sz w:val="24"/>
          <w:szCs w:val="24"/>
        </w:rPr>
        <w:t>στ</w:t>
      </w:r>
      <w:proofErr w:type="spellEnd"/>
      <w:r w:rsidRPr="00E029D2">
        <w:rPr>
          <w:rFonts w:asciiTheme="majorHAnsi" w:eastAsia="Calibri" w:hAnsiTheme="majorHAnsi"/>
          <w:color w:val="auto"/>
          <w:sz w:val="24"/>
          <w:szCs w:val="24"/>
        </w:rPr>
        <w:t xml:space="preserve"> να συμπληρωθεί ως ακολούθως (βλ. με έντονη γραμματοσειρά): </w:t>
      </w: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w:t>
      </w:r>
      <w:proofErr w:type="spellStart"/>
      <w:r w:rsidRPr="00E029D2">
        <w:rPr>
          <w:rFonts w:asciiTheme="majorHAnsi" w:eastAsia="Calibri" w:hAnsiTheme="majorHAnsi"/>
          <w:color w:val="auto"/>
          <w:sz w:val="24"/>
          <w:szCs w:val="24"/>
        </w:rPr>
        <w:t>στ</w:t>
      </w:r>
      <w:proofErr w:type="spellEnd"/>
      <w:r w:rsidRPr="00E029D2">
        <w:rPr>
          <w:rFonts w:asciiTheme="majorHAnsi" w:eastAsia="Calibri" w:hAnsiTheme="majorHAnsi"/>
          <w:color w:val="auto"/>
          <w:sz w:val="24"/>
          <w:szCs w:val="24"/>
        </w:rPr>
        <w:t xml:space="preserve">) Η δημιουργία, η αξιοποίηση, η συντήρηση και η επέκταση ερευνητικών υποδομών υψηλής ποιότητας, </w:t>
      </w:r>
      <w:r w:rsidRPr="00E029D2">
        <w:rPr>
          <w:rFonts w:asciiTheme="majorHAnsi" w:eastAsia="Calibri" w:hAnsiTheme="majorHAnsi"/>
          <w:b/>
          <w:bCs/>
          <w:color w:val="auto"/>
          <w:sz w:val="24"/>
          <w:szCs w:val="24"/>
        </w:rPr>
        <w:t>προσβάσιμων στα άτομα με αναπηρία</w:t>
      </w:r>
      <w:r w:rsidRPr="00E029D2">
        <w:rPr>
          <w:rFonts w:asciiTheme="majorHAnsi" w:eastAsia="Calibri" w:hAnsiTheme="majorHAnsi"/>
          <w:color w:val="auto"/>
          <w:sz w:val="24"/>
          <w:szCs w:val="24"/>
        </w:rPr>
        <w:t xml:space="preserve">, για την ενίσχυση της πρωτοποριακής έρευνας και της καινοτομίας με την προσέλκυση ταλέντων εγνωσμένου κύρους και την αξιοποίηση, την υποστήριξη νέων τεχνολογιών πληροφορικής και επικοινωνιών, βασικών τεχνολογιών γενικής εφαρμογής, </w:t>
      </w:r>
      <w:r w:rsidRPr="00E029D2">
        <w:rPr>
          <w:rFonts w:asciiTheme="majorHAnsi" w:eastAsia="Calibri" w:hAnsiTheme="majorHAnsi"/>
          <w:b/>
          <w:bCs/>
          <w:color w:val="auto"/>
          <w:sz w:val="24"/>
          <w:szCs w:val="24"/>
        </w:rPr>
        <w:t>προσβάσιμων στα άτομα με αναπηρία</w:t>
      </w:r>
      <w:r w:rsidRPr="00E029D2">
        <w:rPr>
          <w:rFonts w:asciiTheme="majorHAnsi" w:eastAsia="Calibri" w:hAnsiTheme="majorHAnsi"/>
          <w:color w:val="auto"/>
          <w:sz w:val="24"/>
          <w:szCs w:val="24"/>
        </w:rPr>
        <w:t xml:space="preserve">, και την άσκηση οικονομικών και μη δραστηριοτήτων. Περαιτέρω, η ανάπτυξη εταιρικών και εμπορικών σχέσεων μεταξύ των δημόσιων ερευνητικών υποδομών και της βιομηχανίας […]» </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-το εδάφιο θ να συμπληρωθεί ως ακολούθως (βλ. με έντονη γραμματοσειρά):</w:t>
      </w:r>
    </w:p>
    <w:p w:rsidR="00D47C50" w:rsidRPr="00E029D2" w:rsidRDefault="00D47C50" w:rsidP="00D47C50">
      <w:pPr>
        <w:spacing w:after="0" w:line="240" w:lineRule="auto"/>
        <w:rPr>
          <w:rFonts w:asciiTheme="majorHAnsi" w:eastAsia="Calibri" w:hAnsiTheme="majorHAnsi"/>
          <w:color w:val="auto"/>
          <w:sz w:val="24"/>
          <w:szCs w:val="24"/>
        </w:rPr>
      </w:pPr>
    </w:p>
    <w:p w:rsidR="00E029D2"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 xml:space="preserve">«Θ. Η εναρμόνιση </w:t>
      </w:r>
      <w:r w:rsidRPr="00E029D2">
        <w:rPr>
          <w:rFonts w:asciiTheme="majorHAnsi" w:eastAsia="Calibri" w:hAnsiTheme="majorHAnsi"/>
          <w:b/>
          <w:bCs/>
          <w:color w:val="auto"/>
          <w:sz w:val="24"/>
          <w:szCs w:val="24"/>
        </w:rPr>
        <w:t>τόσο</w:t>
      </w:r>
      <w:r w:rsidRPr="00E029D2">
        <w:rPr>
          <w:rFonts w:asciiTheme="majorHAnsi" w:eastAsia="Calibri" w:hAnsiTheme="majorHAnsi"/>
          <w:color w:val="auto"/>
          <w:sz w:val="24"/>
          <w:szCs w:val="24"/>
        </w:rPr>
        <w:t xml:space="preserve"> με τις κατευθύνσεις της ευρωπαϊκής πολιτικής για την ΕΤΑΚ </w:t>
      </w:r>
      <w:r w:rsidRPr="00E029D2">
        <w:rPr>
          <w:rFonts w:asciiTheme="majorHAnsi" w:eastAsia="Calibri" w:hAnsiTheme="majorHAnsi"/>
          <w:b/>
          <w:bCs/>
          <w:color w:val="auto"/>
          <w:sz w:val="24"/>
          <w:szCs w:val="24"/>
        </w:rPr>
        <w:t xml:space="preserve">όσο και με το κανονιστικό πλαίσιο των Ευρωπαϊκών Διαρθρωτικών και Επενδυτικών Ταμείων (ΕΔΕΤ) για την προγραμματική περίοδο 2014 - 2020 </w:t>
      </w:r>
      <w:r w:rsidRPr="00E029D2">
        <w:rPr>
          <w:rFonts w:asciiTheme="majorHAnsi" w:eastAsia="Calibri" w:hAnsiTheme="majorHAnsi"/>
          <w:color w:val="auto"/>
          <w:sz w:val="24"/>
          <w:szCs w:val="24"/>
        </w:rPr>
        <w:t>και η επίτευξη βέλτιστης διακρατικής συνεργασίας με τη συμμετοχή σε αντίστοιχες προσπάθειες σε πανευρωπαϊκό και ευρύτερο διεθνές επίπεδο […]»</w:t>
      </w: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 xml:space="preserve">-το εδάφιο </w:t>
      </w:r>
      <w:proofErr w:type="spellStart"/>
      <w:r w:rsidRPr="00E029D2">
        <w:rPr>
          <w:rFonts w:asciiTheme="majorHAnsi" w:eastAsia="Calibri" w:hAnsiTheme="majorHAnsi"/>
          <w:color w:val="auto"/>
          <w:sz w:val="24"/>
          <w:szCs w:val="24"/>
        </w:rPr>
        <w:t>ιγ</w:t>
      </w:r>
      <w:proofErr w:type="spellEnd"/>
      <w:r w:rsidRPr="00E029D2">
        <w:rPr>
          <w:rFonts w:asciiTheme="majorHAnsi" w:eastAsia="Calibri" w:hAnsiTheme="majorHAnsi"/>
          <w:color w:val="auto"/>
          <w:sz w:val="24"/>
          <w:szCs w:val="24"/>
        </w:rPr>
        <w:t xml:space="preserve"> να συμπληρωθεί ως ακολούθως (βλ. με έντονη γραμματοσειρά): </w:t>
      </w:r>
    </w:p>
    <w:p w:rsidR="00D47C50" w:rsidRPr="00E029D2" w:rsidRDefault="00D47C50" w:rsidP="00D47C50">
      <w:pPr>
        <w:spacing w:after="0" w:line="240" w:lineRule="auto"/>
        <w:rPr>
          <w:rFonts w:asciiTheme="majorHAnsi" w:eastAsia="Calibri" w:hAnsiTheme="majorHAnsi"/>
          <w:b/>
          <w:bCs/>
          <w:color w:val="auto"/>
          <w:sz w:val="24"/>
          <w:szCs w:val="24"/>
        </w:rPr>
      </w:pPr>
      <w:r w:rsidRPr="00E029D2">
        <w:rPr>
          <w:rFonts w:asciiTheme="majorHAnsi" w:eastAsia="Calibri" w:hAnsiTheme="majorHAnsi"/>
          <w:color w:val="auto"/>
          <w:sz w:val="24"/>
          <w:szCs w:val="24"/>
        </w:rPr>
        <w:t>«</w:t>
      </w:r>
      <w:proofErr w:type="spellStart"/>
      <w:r w:rsidRPr="00E029D2">
        <w:rPr>
          <w:rFonts w:asciiTheme="majorHAnsi" w:eastAsia="Calibri" w:hAnsiTheme="majorHAnsi"/>
          <w:color w:val="auto"/>
          <w:sz w:val="24"/>
          <w:szCs w:val="24"/>
        </w:rPr>
        <w:t>ιγ</w:t>
      </w:r>
      <w:proofErr w:type="spellEnd"/>
      <w:r w:rsidRPr="00E029D2">
        <w:rPr>
          <w:rFonts w:asciiTheme="majorHAnsi" w:eastAsia="Calibri" w:hAnsiTheme="majorHAnsi"/>
          <w:color w:val="auto"/>
          <w:sz w:val="24"/>
          <w:szCs w:val="24"/>
        </w:rPr>
        <w:t xml:space="preserve">) Η συμβολή στην περιφερειακή ανάπτυξη και την απασχόληση, </w:t>
      </w:r>
      <w:r w:rsidRPr="00E029D2">
        <w:rPr>
          <w:rFonts w:asciiTheme="majorHAnsi" w:eastAsia="Calibri" w:hAnsiTheme="majorHAnsi"/>
          <w:b/>
          <w:bCs/>
          <w:color w:val="auto"/>
          <w:sz w:val="24"/>
          <w:szCs w:val="24"/>
        </w:rPr>
        <w:t>ιδίως των νέων και των ευπαθών ομάδων του πληθυσμού, μεταξύ των οποίων περιλαμβάνονται και τα άτομα με αναπηρία[…]</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b/>
          <w:bCs/>
          <w:color w:val="auto"/>
          <w:sz w:val="24"/>
          <w:szCs w:val="24"/>
          <w:u w:val="single"/>
        </w:rPr>
      </w:pPr>
      <w:r w:rsidRPr="00E029D2">
        <w:rPr>
          <w:rFonts w:asciiTheme="majorHAnsi" w:eastAsia="Calibri" w:hAnsiTheme="majorHAnsi"/>
          <w:b/>
          <w:bCs/>
          <w:color w:val="auto"/>
          <w:sz w:val="24"/>
          <w:szCs w:val="24"/>
          <w:u w:val="single"/>
        </w:rPr>
        <w:t xml:space="preserve">Άρθρο 8 </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-Η παράγραφο 1 να συμπληρωθεί ως ακολούθως (βλ. με έντονη γραμματοσειρά):</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b/>
          <w:bCs/>
          <w:color w:val="auto"/>
          <w:sz w:val="24"/>
          <w:szCs w:val="24"/>
          <w:u w:val="single"/>
        </w:rPr>
      </w:pPr>
      <w:r w:rsidRPr="00E029D2">
        <w:rPr>
          <w:rFonts w:asciiTheme="majorHAnsi" w:eastAsia="Calibri" w:hAnsiTheme="majorHAnsi"/>
          <w:color w:val="auto"/>
          <w:sz w:val="24"/>
          <w:szCs w:val="24"/>
        </w:rPr>
        <w:t xml:space="preserve">«1. Με απόφαση του κατά τόπο αρμόδιου Περιφερειάρχη, που δημοσιεύεται στην Εφημερίδα της Κυβερνήσεως, συγκροτείται Περιφερειακό Επιστημονικό Συμβούλιο Έρευνας και Καινοτομίας (ΠΣΕΚ), ως όργανο υποστήριξης αναπτυξιακών δράσεων και υλοποίησης της ΕΣΕΤΑΚ. Η υποστήριξη παρέχεται με εισηγήσεις, μελέτες πεδίου, καταγραφές και αξιολογήσεις των υφιστάμενων υποδομών </w:t>
      </w:r>
      <w:r w:rsidRPr="00E029D2">
        <w:rPr>
          <w:rFonts w:asciiTheme="majorHAnsi" w:eastAsia="Calibri" w:hAnsiTheme="majorHAnsi"/>
          <w:b/>
          <w:bCs/>
          <w:color w:val="auto"/>
          <w:sz w:val="24"/>
          <w:szCs w:val="24"/>
        </w:rPr>
        <w:t xml:space="preserve">- αναφορικά και με την προσβασιμότητά τους  στα άτομα με </w:t>
      </w:r>
      <w:r w:rsidRPr="00E029D2">
        <w:rPr>
          <w:rFonts w:asciiTheme="majorHAnsi" w:eastAsia="Calibri" w:hAnsiTheme="majorHAnsi"/>
          <w:b/>
          <w:bCs/>
          <w:color w:val="auto"/>
          <w:sz w:val="24"/>
          <w:szCs w:val="24"/>
        </w:rPr>
        <w:lastRenderedPageBreak/>
        <w:t>αναπηρία -</w:t>
      </w:r>
      <w:r w:rsidRPr="00E029D2">
        <w:rPr>
          <w:rFonts w:asciiTheme="majorHAnsi" w:eastAsia="Calibri" w:hAnsiTheme="majorHAnsi"/>
          <w:color w:val="auto"/>
          <w:sz w:val="24"/>
          <w:szCs w:val="24"/>
        </w:rPr>
        <w:t xml:space="preserve"> ή του διαθέσιμου ανθρώπινου δυναμικού και συγκριτικές εκτιμήσεις σε ό,τι αφορά στη δημιουργία περιφερειακών συσπειρώσεων ερευνητικών οργανισμών, τεχνολογικών φορέων, επιχειρήσεων, λοιπών φορέων και περιφερειακών αρχών, για την προώθηση της καινοτομίας, την ενθάρρυνση της ανάπτυξης σχημάτων σύμπραξης του δημόσιου και του ιδιωτικού τομέα και τη διαμόρφωση συνθηκών και προοπτικών επιτυχούς συμμετοχής οργανισμών των περιφερειών σε εθνικά και ευρωπαϊκά ερευνητικά έργα».</w:t>
      </w:r>
    </w:p>
    <w:p w:rsidR="00D47C50" w:rsidRPr="00E029D2" w:rsidRDefault="00D47C50" w:rsidP="00D47C50">
      <w:pPr>
        <w:spacing w:after="0" w:line="240" w:lineRule="auto"/>
        <w:rPr>
          <w:rFonts w:asciiTheme="majorHAnsi" w:eastAsia="Calibri" w:hAnsiTheme="majorHAnsi"/>
          <w:b/>
          <w:bCs/>
          <w:color w:val="auto"/>
          <w:sz w:val="24"/>
          <w:szCs w:val="24"/>
          <w:u w:val="single"/>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-Η παράγραφο 2 να συμπληρωθεί ως ακολούθως (βλ. με έντονη γραμματοσειρά):</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«2. Το</w:t>
      </w:r>
      <w:r w:rsidRPr="00E029D2">
        <w:rPr>
          <w:rFonts w:asciiTheme="majorHAnsi" w:eastAsia="Calibri" w:hAnsiTheme="majorHAnsi"/>
          <w:color w:val="auto"/>
          <w:sz w:val="24"/>
          <w:szCs w:val="24"/>
          <w:lang w:val="en-US"/>
        </w:rPr>
        <w:t> </w:t>
      </w:r>
      <w:r w:rsidRPr="00E029D2">
        <w:rPr>
          <w:rFonts w:asciiTheme="majorHAnsi" w:eastAsia="Calibri" w:hAnsiTheme="majorHAnsi"/>
          <w:color w:val="auto"/>
          <w:sz w:val="24"/>
          <w:szCs w:val="24"/>
        </w:rPr>
        <w:t xml:space="preserve"> (ΠΣΕΚ) αποτελείται από έντεκα (11) μέλη, από τα οποία έξι (6) είναι καθηγητές ΑΕΙ ή ερευνητές που προέρχονται από ερευνητικά κέντρα που εποπτεύονται από τον Υπουργό Π.Ε.Θ. Τα υπόλοιπα πέντε (5) μέλη προέρχονται από επαγγελματικά επιμελητήρια και επιστημονικούς συλλόγους, τους πολιτιστικούς φορείς,  την τοπική αυτοδιοίκηση, </w:t>
      </w:r>
      <w:r w:rsidRPr="00E029D2">
        <w:rPr>
          <w:rFonts w:asciiTheme="majorHAnsi" w:eastAsia="Calibri" w:hAnsiTheme="majorHAnsi"/>
          <w:b/>
          <w:bCs/>
          <w:color w:val="auto"/>
          <w:sz w:val="24"/>
          <w:szCs w:val="24"/>
        </w:rPr>
        <w:t xml:space="preserve">τους φορείς της κοινωνίας των πολιτών (π.χ. Εθνική Συνομοσπονδία Ατόμων με Αναπηρία) </w:t>
      </w:r>
      <w:r w:rsidRPr="00E029D2">
        <w:rPr>
          <w:rFonts w:asciiTheme="majorHAnsi" w:eastAsia="Calibri" w:hAnsiTheme="majorHAnsi"/>
          <w:color w:val="auto"/>
          <w:sz w:val="24"/>
          <w:szCs w:val="24"/>
        </w:rPr>
        <w:t>και</w:t>
      </w:r>
      <w:r w:rsidRPr="00E029D2">
        <w:rPr>
          <w:rFonts w:asciiTheme="majorHAnsi" w:eastAsia="Calibri" w:hAnsiTheme="majorHAnsi"/>
          <w:b/>
          <w:bCs/>
          <w:color w:val="auto"/>
          <w:sz w:val="24"/>
          <w:szCs w:val="24"/>
        </w:rPr>
        <w:t xml:space="preserve"> </w:t>
      </w:r>
      <w:r w:rsidRPr="00E029D2">
        <w:rPr>
          <w:rFonts w:asciiTheme="majorHAnsi" w:eastAsia="Calibri" w:hAnsiTheme="majorHAnsi"/>
          <w:color w:val="auto"/>
          <w:sz w:val="24"/>
          <w:szCs w:val="24"/>
        </w:rPr>
        <w:t> τους παραγωγικούς φορείς  της περιοχής. […]».</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b/>
          <w:bCs/>
          <w:color w:val="auto"/>
          <w:sz w:val="24"/>
          <w:szCs w:val="24"/>
          <w:u w:val="single"/>
        </w:rPr>
      </w:pPr>
      <w:r w:rsidRPr="00E029D2">
        <w:rPr>
          <w:rFonts w:asciiTheme="majorHAnsi" w:eastAsia="Calibri" w:hAnsiTheme="majorHAnsi"/>
          <w:b/>
          <w:bCs/>
          <w:color w:val="auto"/>
          <w:sz w:val="24"/>
          <w:szCs w:val="24"/>
          <w:u w:val="single"/>
        </w:rPr>
        <w:t>Άρθρο 9</w:t>
      </w:r>
    </w:p>
    <w:p w:rsidR="00D47C50" w:rsidRPr="00E029D2" w:rsidRDefault="00D47C50" w:rsidP="00D47C50">
      <w:pPr>
        <w:spacing w:after="0" w:line="240" w:lineRule="auto"/>
        <w:rPr>
          <w:rFonts w:asciiTheme="majorHAnsi" w:eastAsia="Calibri" w:hAnsiTheme="majorHAnsi"/>
          <w:b/>
          <w:bCs/>
          <w:color w:val="auto"/>
          <w:sz w:val="24"/>
          <w:szCs w:val="24"/>
          <w:u w:val="single"/>
        </w:rPr>
      </w:pPr>
    </w:p>
    <w:p w:rsidR="00E029D2"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Στην παράγραφο 3 προτείνουμε να συμπεριληφθεί μεταξύ των μελών του ΕΣΕΚ  και εκπρόσωπος της Εθνικής Συνομοσπονδίας Ατόμων με Αναπηρία (Ε.Σ.Α.μεΑ), ήτοι του αντιπροσωπευτικότερου φορέα του αναπηρικού κινήματος της χώρας με στόχο τη διασφάλιση της οριζόντιας διάχυσης της διάστασης της αναπηρίας στην ΕΤΑΚ, η οποία δύναται να συμβάλλει στη δημιουργία νέων αναπτυξιακών προοπτικών.</w:t>
      </w:r>
    </w:p>
    <w:p w:rsidR="00E029D2" w:rsidRPr="00E029D2" w:rsidRDefault="00E029D2" w:rsidP="00D47C50">
      <w:pPr>
        <w:spacing w:after="0" w:line="240" w:lineRule="auto"/>
        <w:rPr>
          <w:rFonts w:asciiTheme="majorHAnsi" w:eastAsia="Calibri" w:hAnsiTheme="majorHAnsi"/>
          <w:b/>
          <w:bCs/>
          <w:color w:val="auto"/>
          <w:sz w:val="24"/>
          <w:szCs w:val="24"/>
          <w:u w:val="single"/>
        </w:rPr>
      </w:pPr>
    </w:p>
    <w:p w:rsidR="00D47C50" w:rsidRPr="00E029D2" w:rsidRDefault="00D47C50" w:rsidP="00D47C50">
      <w:pPr>
        <w:spacing w:after="0" w:line="240" w:lineRule="auto"/>
        <w:rPr>
          <w:rFonts w:asciiTheme="majorHAnsi" w:eastAsia="Calibri" w:hAnsiTheme="majorHAnsi"/>
          <w:b/>
          <w:bCs/>
          <w:color w:val="auto"/>
          <w:sz w:val="24"/>
          <w:szCs w:val="24"/>
          <w:u w:val="single"/>
        </w:rPr>
      </w:pPr>
      <w:r w:rsidRPr="00E029D2">
        <w:rPr>
          <w:rFonts w:asciiTheme="majorHAnsi" w:eastAsia="Calibri" w:hAnsiTheme="majorHAnsi"/>
          <w:b/>
          <w:bCs/>
          <w:color w:val="auto"/>
          <w:sz w:val="24"/>
          <w:szCs w:val="24"/>
          <w:u w:val="single"/>
        </w:rPr>
        <w:t xml:space="preserve">Άρθρο 16 </w:t>
      </w:r>
    </w:p>
    <w:p w:rsidR="00D47C50" w:rsidRPr="00E029D2" w:rsidRDefault="00D47C50" w:rsidP="00D47C50">
      <w:pPr>
        <w:spacing w:after="0" w:line="240" w:lineRule="auto"/>
        <w:rPr>
          <w:rFonts w:asciiTheme="majorHAnsi" w:eastAsia="Calibri" w:hAnsiTheme="majorHAnsi"/>
          <w:color w:val="auto"/>
          <w:sz w:val="24"/>
          <w:szCs w:val="24"/>
        </w:rPr>
      </w:pP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 xml:space="preserve">-Η παράγραφος 6 να συμπληρωθεί/τροποποιηθεί ως ακολούθως (βλ. με έντονη γραμματοσειρά): </w:t>
      </w: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-«6. Το ερευνητικό προσωπικό, εφόσον δεν συντρέχουν λόγοι παρουσίας του εκτός του</w:t>
      </w:r>
      <w:r w:rsidRPr="00E029D2">
        <w:rPr>
          <w:rFonts w:asciiTheme="majorHAnsi" w:eastAsia="Calibri" w:hAnsiTheme="majorHAnsi"/>
          <w:color w:val="auto"/>
          <w:sz w:val="24"/>
          <w:szCs w:val="24"/>
          <w:lang w:val="en-US"/>
        </w:rPr>
        <w:t> </w:t>
      </w:r>
      <w:r w:rsidRPr="00E029D2">
        <w:rPr>
          <w:rFonts w:asciiTheme="majorHAnsi" w:eastAsia="Calibri" w:hAnsiTheme="majorHAnsi"/>
          <w:color w:val="auto"/>
          <w:sz w:val="24"/>
          <w:szCs w:val="24"/>
        </w:rPr>
        <w:t xml:space="preserve"> ερευνητικού κέντρου στο πλαίσιο ερευνητικής δραστηριότητας, οφείλει να παρευρίσκεται στους χώρους του ερευνητικού κέντρου κατ’ ελάχιστον είκοσι (20) ώρες εβδομαδιαίως, οι οποίες κατανέμονται σε τουλάχιστον τέσσερις εργάσιμες ημέρες, να παρέχει τις πάσης φύσεως υπηρεσίες του (ερευνητικές, επιστημονικές, τεχνικές, διοικητικές) για την υποστήριξη του ερευνητικού έργου του ερευνητικού κέντρου ή του ινστιτούτου και να συνεργάζεται γι’ αυτό το σκοπό με το υπόλοιπο προσωπικό. </w:t>
      </w:r>
      <w:r w:rsidRPr="00E029D2">
        <w:rPr>
          <w:rFonts w:asciiTheme="majorHAnsi" w:eastAsia="Calibri" w:hAnsiTheme="majorHAnsi"/>
          <w:b/>
          <w:bCs/>
          <w:color w:val="auto"/>
          <w:sz w:val="24"/>
          <w:szCs w:val="24"/>
        </w:rPr>
        <w:t>Στην περίπτωση ατόμου με αναπηρία ή γονέα/κηδεμόνα ατόμου με αναπηρία παρέχεται δυνατότητα διαμόρφωσης ευέλικτων συνθηκών απασχόλησης</w:t>
      </w:r>
      <w:r w:rsidRPr="00E029D2">
        <w:rPr>
          <w:rFonts w:asciiTheme="majorHAnsi" w:eastAsia="Calibri" w:hAnsiTheme="majorHAnsi"/>
          <w:color w:val="auto"/>
          <w:sz w:val="24"/>
          <w:szCs w:val="24"/>
        </w:rPr>
        <w:t>».</w:t>
      </w:r>
    </w:p>
    <w:p w:rsidR="00D47C50" w:rsidRPr="00E029D2" w:rsidRDefault="00D47C50" w:rsidP="00D47C50">
      <w:pPr>
        <w:spacing w:after="0" w:line="240" w:lineRule="auto"/>
        <w:rPr>
          <w:rFonts w:asciiTheme="majorHAnsi" w:eastAsia="Calibri" w:hAnsiTheme="majorHAnsi"/>
          <w:color w:val="auto"/>
          <w:sz w:val="24"/>
          <w:szCs w:val="24"/>
        </w:rPr>
      </w:pPr>
      <w:r w:rsidRPr="00E029D2">
        <w:rPr>
          <w:rFonts w:asciiTheme="majorHAnsi" w:eastAsia="Calibri" w:hAnsiTheme="majorHAnsi"/>
          <w:color w:val="auto"/>
          <w:sz w:val="24"/>
          <w:szCs w:val="24"/>
        </w:rPr>
        <w:t>-Στην παράγραφο 12 το εδάφιο β να συμπληρωθεί/τροποποιηθεί ως ακολούθως (βλ. με έντονη γραμματοσειρά):</w:t>
      </w:r>
    </w:p>
    <w:p w:rsidR="00375EFD" w:rsidRPr="00E029D2" w:rsidRDefault="00D47C50" w:rsidP="00E60D89">
      <w:pPr>
        <w:spacing w:after="0" w:line="240" w:lineRule="auto"/>
        <w:rPr>
          <w:rFonts w:asciiTheme="majorHAnsi" w:eastAsiaTheme="minorHAnsi" w:hAnsiTheme="majorHAnsi" w:cstheme="minorBidi"/>
          <w:color w:val="auto"/>
          <w:sz w:val="24"/>
          <w:szCs w:val="24"/>
        </w:rPr>
      </w:pPr>
      <w:r w:rsidRPr="00E029D2">
        <w:rPr>
          <w:rFonts w:asciiTheme="majorHAnsi" w:eastAsia="Calibri" w:hAnsiTheme="majorHAnsi"/>
          <w:color w:val="auto"/>
          <w:sz w:val="24"/>
          <w:szCs w:val="24"/>
        </w:rPr>
        <w:t xml:space="preserve">«β) Οι μεταπτυχιακοί φοιτητές μπορούν  να απασχοληθούν και ως υπότροφοι μεταπτυχιακοί ερευνητές – συνεργάτες, δυνάμει συμβάσεως χορηγίας υποτροφίας, η οποία συνάπτεται μεταξύ του ερευνητικού φορέα και του μεταπτυχιακού φοιτητή. </w:t>
      </w:r>
      <w:r w:rsidRPr="00E029D2">
        <w:rPr>
          <w:rFonts w:asciiTheme="majorHAnsi" w:eastAsia="Calibri" w:hAnsiTheme="majorHAnsi"/>
          <w:b/>
          <w:bCs/>
          <w:color w:val="auto"/>
          <w:sz w:val="24"/>
          <w:szCs w:val="24"/>
        </w:rPr>
        <w:t xml:space="preserve">Σε περίπτωση ατόμου με αναπηρία, στη σύμβαση θα προβλέπεται η κάλυψη του κόστους εφαρμογής των απαιτούμενων </w:t>
      </w:r>
      <w:r w:rsidRPr="00E029D2">
        <w:rPr>
          <w:rFonts w:asciiTheme="majorHAnsi" w:eastAsia="Calibri" w:hAnsiTheme="majorHAnsi"/>
          <w:b/>
          <w:bCs/>
          <w:color w:val="auto"/>
          <w:sz w:val="24"/>
          <w:szCs w:val="24"/>
        </w:rPr>
        <w:lastRenderedPageBreak/>
        <w:t xml:space="preserve">εύλογων προσαρμογών και των δαπανών μετακίνησης. </w:t>
      </w:r>
      <w:r w:rsidRPr="00E029D2">
        <w:rPr>
          <w:rFonts w:asciiTheme="majorHAnsi" w:eastAsia="Calibri" w:hAnsiTheme="majorHAnsi"/>
          <w:color w:val="auto"/>
          <w:sz w:val="24"/>
          <w:szCs w:val="24"/>
        </w:rPr>
        <w:t>Οι υπότροφοι διέπονται κατά το χρόνο διάρκειας της σύμβασης […]».</w:t>
      </w:r>
    </w:p>
    <w:p w:rsidR="00E029D2" w:rsidRDefault="00E029D2" w:rsidP="00375EFD">
      <w:pPr>
        <w:rPr>
          <w:rFonts w:asciiTheme="majorHAnsi" w:eastAsiaTheme="minorHAnsi" w:hAnsiTheme="majorHAnsi" w:cstheme="minorBidi"/>
          <w:b/>
          <w:color w:val="auto"/>
          <w:sz w:val="24"/>
          <w:szCs w:val="24"/>
          <w:u w:val="single"/>
        </w:rPr>
      </w:pPr>
    </w:p>
    <w:p w:rsidR="00375EFD" w:rsidRPr="00E029D2" w:rsidRDefault="00375EFD" w:rsidP="00375EFD">
      <w:pPr>
        <w:rPr>
          <w:rFonts w:asciiTheme="majorHAnsi" w:eastAsiaTheme="minorHAnsi" w:hAnsiTheme="majorHAnsi" w:cstheme="minorBidi"/>
          <w:b/>
          <w:color w:val="auto"/>
          <w:sz w:val="24"/>
          <w:szCs w:val="24"/>
          <w:u w:val="single"/>
        </w:rPr>
      </w:pPr>
      <w:r w:rsidRPr="00E029D2">
        <w:rPr>
          <w:rFonts w:asciiTheme="majorHAnsi" w:eastAsiaTheme="minorHAnsi" w:hAnsiTheme="majorHAnsi" w:cstheme="minorBidi"/>
          <w:b/>
          <w:color w:val="auto"/>
          <w:sz w:val="24"/>
          <w:szCs w:val="24"/>
          <w:u w:val="single"/>
        </w:rPr>
        <w:t xml:space="preserve">Άρθρο 42 </w:t>
      </w:r>
    </w:p>
    <w:p w:rsidR="00375EFD" w:rsidRPr="00E029D2" w:rsidRDefault="00375EFD" w:rsidP="00375EFD">
      <w:pPr>
        <w:rPr>
          <w:rFonts w:asciiTheme="majorHAnsi" w:eastAsiaTheme="minorHAnsi" w:hAnsiTheme="majorHAnsi" w:cstheme="minorBidi"/>
          <w:color w:val="auto"/>
          <w:sz w:val="24"/>
          <w:szCs w:val="24"/>
        </w:rPr>
      </w:pPr>
      <w:r w:rsidRPr="00E029D2">
        <w:rPr>
          <w:rFonts w:asciiTheme="majorHAnsi" w:eastAsiaTheme="minorHAnsi" w:hAnsiTheme="majorHAnsi" w:cstheme="minorBidi"/>
          <w:color w:val="auto"/>
          <w:sz w:val="24"/>
          <w:szCs w:val="24"/>
        </w:rPr>
        <w:t>Αιτιολόγηση:</w:t>
      </w:r>
      <w:r w:rsidR="006505EF" w:rsidRPr="00E029D2">
        <w:rPr>
          <w:rFonts w:asciiTheme="majorHAnsi" w:eastAsiaTheme="minorHAnsi" w:hAnsiTheme="majorHAnsi" w:cstheme="minorBidi"/>
          <w:color w:val="auto"/>
          <w:sz w:val="24"/>
          <w:szCs w:val="24"/>
        </w:rPr>
        <w:t xml:space="preserve"> </w:t>
      </w:r>
      <w:r w:rsidRPr="00E029D2">
        <w:rPr>
          <w:rFonts w:asciiTheme="majorHAnsi" w:eastAsiaTheme="minorHAnsi" w:hAnsiTheme="majorHAnsi" w:cstheme="minorBidi"/>
          <w:color w:val="auto"/>
          <w:sz w:val="24"/>
          <w:szCs w:val="24"/>
        </w:rPr>
        <w:t xml:space="preserve">Σύμφωνα με την περ.5 της υποπαραγράφου Θ.3 της παρ. Θ. του ν. 4093/2012 στις προϋποθέσεις για χορήγηση άδειας για Κέντρο Δια Βίου Μάθησης Επιπέδου Ένα και Κέντρο Δια Βίου Μάθησης Επιπέδου Δύο </w:t>
      </w:r>
      <w:r w:rsidRPr="00E029D2">
        <w:rPr>
          <w:rFonts w:asciiTheme="majorHAnsi" w:eastAsiaTheme="minorHAnsi" w:hAnsiTheme="majorHAnsi" w:cstheme="minorBidi"/>
          <w:b/>
          <w:color w:val="auto"/>
          <w:sz w:val="24"/>
          <w:szCs w:val="24"/>
        </w:rPr>
        <w:t>για τα νομικά πρόσωπα</w:t>
      </w:r>
      <w:r w:rsidRPr="00E029D2">
        <w:rPr>
          <w:rFonts w:asciiTheme="majorHAnsi" w:eastAsiaTheme="minorHAnsi" w:hAnsiTheme="majorHAnsi" w:cstheme="minorBidi"/>
          <w:color w:val="auto"/>
          <w:sz w:val="24"/>
          <w:szCs w:val="24"/>
        </w:rPr>
        <w:t xml:space="preserve">, μεταξύ άλλων, περιλαμβάνεται και η προϋπόθεση (γ) κατά την οποία οι μέτοχοι ή εταίροι  του δεν έχουν την ιδιότητα του δημοσίου υπαλλήλου, υπαλλήλου Ν.Π.Δ.Δ. και Ο.Τ.Α και κληρικού, με αποτέλεσμα  </w:t>
      </w:r>
      <w:r w:rsidRPr="00E029D2">
        <w:rPr>
          <w:rFonts w:asciiTheme="majorHAnsi" w:eastAsiaTheme="minorHAnsi" w:hAnsiTheme="majorHAnsi" w:cstheme="minorBidi"/>
          <w:b/>
          <w:color w:val="auto"/>
          <w:sz w:val="24"/>
          <w:szCs w:val="24"/>
          <w:u w:val="single"/>
        </w:rPr>
        <w:t>ΝΠΙΔ σωματεία μη κερδοσκοπικού χαρακτήρα</w:t>
      </w:r>
      <w:r w:rsidRPr="00E029D2">
        <w:rPr>
          <w:rFonts w:asciiTheme="majorHAnsi" w:eastAsiaTheme="minorHAnsi" w:hAnsiTheme="majorHAnsi" w:cstheme="minorBidi"/>
          <w:color w:val="auto"/>
          <w:sz w:val="24"/>
          <w:szCs w:val="24"/>
        </w:rPr>
        <w:t xml:space="preserve"> να μην μπορούν να </w:t>
      </w:r>
      <w:proofErr w:type="spellStart"/>
      <w:r w:rsidRPr="00E029D2">
        <w:rPr>
          <w:rFonts w:asciiTheme="majorHAnsi" w:eastAsiaTheme="minorHAnsi" w:hAnsiTheme="majorHAnsi" w:cstheme="minorBidi"/>
          <w:color w:val="auto"/>
          <w:sz w:val="24"/>
          <w:szCs w:val="24"/>
        </w:rPr>
        <w:t>αδειοδοτηθούν</w:t>
      </w:r>
      <w:proofErr w:type="spellEnd"/>
      <w:r w:rsidRPr="00E029D2">
        <w:rPr>
          <w:rFonts w:asciiTheme="majorHAnsi" w:eastAsiaTheme="minorHAnsi" w:hAnsiTheme="majorHAnsi" w:cstheme="minorBidi"/>
          <w:color w:val="auto"/>
          <w:sz w:val="24"/>
          <w:szCs w:val="24"/>
        </w:rPr>
        <w:t xml:space="preserve"> ως Κέντρα Διά Βίου Μάθησης Επιπέδου 1 και Επιπέδου 2. </w:t>
      </w:r>
    </w:p>
    <w:p w:rsidR="00375EFD" w:rsidRPr="00E029D2" w:rsidRDefault="00375EFD" w:rsidP="00375EFD">
      <w:pPr>
        <w:rPr>
          <w:rFonts w:asciiTheme="majorHAnsi" w:eastAsiaTheme="minorHAnsi" w:hAnsiTheme="majorHAnsi" w:cstheme="minorBidi"/>
          <w:color w:val="auto"/>
          <w:sz w:val="24"/>
          <w:szCs w:val="24"/>
        </w:rPr>
      </w:pPr>
      <w:r w:rsidRPr="00E029D2">
        <w:rPr>
          <w:rFonts w:asciiTheme="majorHAnsi" w:eastAsiaTheme="minorHAnsi" w:hAnsiTheme="majorHAnsi" w:cstheme="minorBidi"/>
          <w:color w:val="auto"/>
          <w:sz w:val="24"/>
          <w:szCs w:val="24"/>
        </w:rPr>
        <w:t>Συγκεκριμένα η απαίτηση της προϋπόθεσης αυτής, στερεί από την ΕΣΑμεΑ, αλλά και από άλλους συναφείς φορείς, τη δυνατότητα υποβολής αίτησης για χορήγηση άδειας ως Κέντρου Διά Βίου Μάθησης Επιπέδου 1 ή/και Επιπέδου 2, αφού κάποια μέλη του Γενικού Συμβουλίου της έχουν την</w:t>
      </w:r>
      <w:r w:rsidRPr="00E029D2">
        <w:rPr>
          <w:rFonts w:asciiTheme="majorHAnsi" w:eastAsiaTheme="minorHAnsi" w:hAnsiTheme="majorHAnsi" w:cstheme="minorBidi"/>
          <w:i/>
          <w:color w:val="auto"/>
          <w:sz w:val="24"/>
          <w:szCs w:val="24"/>
        </w:rPr>
        <w:t xml:space="preserve"> </w:t>
      </w:r>
      <w:r w:rsidRPr="00E029D2">
        <w:rPr>
          <w:rFonts w:asciiTheme="majorHAnsi" w:eastAsiaTheme="minorHAnsi" w:hAnsiTheme="majorHAnsi" w:cstheme="minorBidi"/>
          <w:color w:val="auto"/>
          <w:sz w:val="24"/>
          <w:szCs w:val="24"/>
        </w:rPr>
        <w:t>ιδιότητα του δημοσίου υπαλλήλου ή υπαλλήλου ΝΠΔΔ ή ΟΤΑ.</w:t>
      </w:r>
    </w:p>
    <w:p w:rsidR="00375EFD" w:rsidRPr="00E029D2" w:rsidRDefault="00375EFD" w:rsidP="00375EFD">
      <w:pPr>
        <w:rPr>
          <w:rFonts w:asciiTheme="majorHAnsi" w:eastAsiaTheme="minorHAnsi" w:hAnsiTheme="majorHAnsi" w:cstheme="minorBidi"/>
          <w:color w:val="auto"/>
          <w:sz w:val="24"/>
          <w:szCs w:val="24"/>
        </w:rPr>
      </w:pPr>
      <w:r w:rsidRPr="00E029D2">
        <w:rPr>
          <w:rFonts w:asciiTheme="majorHAnsi" w:eastAsiaTheme="minorHAnsi" w:hAnsiTheme="majorHAnsi" w:cstheme="minorBidi"/>
          <w:color w:val="auto"/>
          <w:sz w:val="24"/>
          <w:szCs w:val="24"/>
        </w:rPr>
        <w:t>Για τον παραπάνω λόγο ζητείται στο άρθρο 42 «Ρύθμιση Θεμάτων Δια Βίου Μάθησης», η παρ.6 να συμπληρωθεί ως εξής: (βλ. με έντονη γραμματοσειρά) :</w:t>
      </w:r>
    </w:p>
    <w:p w:rsidR="00375EFD" w:rsidRPr="00E029D2" w:rsidRDefault="00375EFD" w:rsidP="00375EFD">
      <w:pPr>
        <w:rPr>
          <w:rFonts w:asciiTheme="majorHAnsi" w:eastAsiaTheme="minorHAnsi" w:hAnsiTheme="majorHAnsi" w:cstheme="minorBidi"/>
          <w:color w:val="auto"/>
          <w:sz w:val="24"/>
          <w:szCs w:val="24"/>
        </w:rPr>
      </w:pPr>
      <w:r w:rsidRPr="00E029D2">
        <w:rPr>
          <w:rFonts w:asciiTheme="majorHAnsi" w:eastAsiaTheme="minorHAnsi" w:hAnsiTheme="majorHAnsi" w:cstheme="minorBidi"/>
          <w:color w:val="auto"/>
          <w:sz w:val="24"/>
          <w:szCs w:val="24"/>
        </w:rPr>
        <w:t>γ). Η αναγγελία υποβάλλεται […]</w:t>
      </w:r>
    </w:p>
    <w:p w:rsidR="00375EFD" w:rsidRPr="00E029D2" w:rsidRDefault="00375EFD" w:rsidP="00375EFD">
      <w:pPr>
        <w:rPr>
          <w:rFonts w:asciiTheme="majorHAnsi" w:eastAsiaTheme="minorHAnsi" w:hAnsiTheme="majorHAnsi" w:cstheme="minorBidi"/>
          <w:color w:val="auto"/>
          <w:sz w:val="24"/>
          <w:szCs w:val="24"/>
        </w:rPr>
      </w:pPr>
      <w:r w:rsidRPr="00E029D2">
        <w:rPr>
          <w:rFonts w:asciiTheme="majorHAnsi" w:eastAsiaTheme="minorHAnsi" w:hAnsiTheme="majorHAnsi" w:cstheme="minorBidi"/>
          <w:b/>
          <w:color w:val="auto"/>
          <w:sz w:val="24"/>
          <w:szCs w:val="24"/>
        </w:rPr>
        <w:t>δ).</w:t>
      </w:r>
      <w:r w:rsidRPr="00E029D2">
        <w:rPr>
          <w:rFonts w:asciiTheme="majorHAnsi" w:eastAsiaTheme="minorHAnsi" w:hAnsiTheme="majorHAnsi" w:cstheme="minorBidi"/>
          <w:color w:val="auto"/>
          <w:sz w:val="24"/>
          <w:szCs w:val="24"/>
        </w:rPr>
        <w:t xml:space="preserve"> Η (γ) προϋπόθεση της περ.5 της υποπαραγράφου Θ.3 της </w:t>
      </w:r>
      <w:proofErr w:type="spellStart"/>
      <w:r w:rsidRPr="00E029D2">
        <w:rPr>
          <w:rFonts w:asciiTheme="majorHAnsi" w:eastAsiaTheme="minorHAnsi" w:hAnsiTheme="majorHAnsi" w:cstheme="minorBidi"/>
          <w:color w:val="auto"/>
          <w:sz w:val="24"/>
          <w:szCs w:val="24"/>
        </w:rPr>
        <w:t>παρ.Θ</w:t>
      </w:r>
      <w:proofErr w:type="spellEnd"/>
      <w:r w:rsidRPr="00E029D2">
        <w:rPr>
          <w:rFonts w:asciiTheme="majorHAnsi" w:eastAsiaTheme="minorHAnsi" w:hAnsiTheme="majorHAnsi" w:cstheme="minorBidi"/>
          <w:color w:val="auto"/>
          <w:sz w:val="24"/>
          <w:szCs w:val="24"/>
        </w:rPr>
        <w:t xml:space="preserve"> του ν. 4093/2012 να τροποποιηθεί ως εξής:</w:t>
      </w:r>
    </w:p>
    <w:p w:rsidR="00EE3752" w:rsidRPr="00E029D2" w:rsidRDefault="00375EFD" w:rsidP="00E029D2">
      <w:pPr>
        <w:rPr>
          <w:rFonts w:asciiTheme="majorHAnsi" w:hAnsiTheme="majorHAnsi"/>
          <w:b/>
          <w:sz w:val="24"/>
          <w:szCs w:val="24"/>
        </w:rPr>
      </w:pPr>
      <w:r w:rsidRPr="00E029D2">
        <w:rPr>
          <w:rFonts w:asciiTheme="majorHAnsi" w:eastAsiaTheme="minorHAnsi" w:hAnsiTheme="majorHAnsi" w:cstheme="minorBidi"/>
          <w:color w:val="auto"/>
          <w:sz w:val="24"/>
          <w:szCs w:val="24"/>
        </w:rPr>
        <w:t xml:space="preserve">(γ) οι μέτοχοι ή εταίροι του δεν έχουν την ιδιότητα του δημοσίου υπαλλήλου, υπαλλήλου Ν.Π.Δ.Δ. και Ο.Τ.Α και κληρικού. </w:t>
      </w:r>
      <w:r w:rsidRPr="00E029D2">
        <w:rPr>
          <w:rFonts w:asciiTheme="majorHAnsi" w:eastAsiaTheme="minorHAnsi" w:hAnsiTheme="majorHAnsi" w:cstheme="minorBidi"/>
          <w:b/>
          <w:color w:val="auto"/>
          <w:sz w:val="24"/>
          <w:szCs w:val="24"/>
          <w:u w:val="single"/>
        </w:rPr>
        <w:t>Εξαιρούνται μέτοχοι ή εταίροι των ΝΠΙΔ σωματείων μη κερδοσκοπικού χαρακτήρα από τη συγκεκριμένη υποχρέωση.</w:t>
      </w:r>
      <w:r w:rsidR="00E029D2" w:rsidRPr="00E029D2">
        <w:rPr>
          <w:rFonts w:asciiTheme="majorHAnsi" w:hAnsiTheme="majorHAnsi"/>
          <w:b/>
          <w:sz w:val="24"/>
          <w:szCs w:val="24"/>
        </w:rPr>
        <w:t xml:space="preserve"> </w:t>
      </w:r>
    </w:p>
    <w:p w:rsidR="00E70687" w:rsidRPr="00E029D2" w:rsidRDefault="00E70687" w:rsidP="00696510">
      <w:pPr>
        <w:spacing w:line="240" w:lineRule="auto"/>
        <w:jc w:val="center"/>
        <w:rPr>
          <w:rFonts w:asciiTheme="majorHAnsi" w:hAnsiTheme="majorHAnsi"/>
          <w:b/>
          <w:sz w:val="24"/>
          <w:szCs w:val="24"/>
        </w:rPr>
      </w:pPr>
      <w:r w:rsidRPr="00E029D2">
        <w:rPr>
          <w:rFonts w:asciiTheme="majorHAnsi" w:hAnsiTheme="majorHAnsi"/>
          <w:b/>
          <w:sz w:val="24"/>
          <w:szCs w:val="24"/>
        </w:rPr>
        <w:t>Με εκτίμηση</w:t>
      </w:r>
    </w:p>
    <w:p w:rsidR="00E70687" w:rsidRPr="00E029D2" w:rsidRDefault="00E70687" w:rsidP="00696510">
      <w:pPr>
        <w:spacing w:line="240" w:lineRule="auto"/>
        <w:jc w:val="center"/>
        <w:rPr>
          <w:rFonts w:asciiTheme="majorHAnsi" w:hAnsiTheme="majorHAnsi"/>
          <w:b/>
          <w:sz w:val="24"/>
          <w:szCs w:val="24"/>
        </w:rPr>
        <w:sectPr w:rsidR="00E70687" w:rsidRPr="00E029D2"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029D2" w:rsidRDefault="00E70687" w:rsidP="00696510">
      <w:pPr>
        <w:spacing w:line="240" w:lineRule="auto"/>
        <w:jc w:val="center"/>
        <w:rPr>
          <w:rFonts w:asciiTheme="majorHAnsi" w:hAnsiTheme="majorHAnsi"/>
          <w:b/>
          <w:sz w:val="24"/>
          <w:szCs w:val="24"/>
        </w:rPr>
      </w:pPr>
      <w:r w:rsidRPr="00E029D2">
        <w:rPr>
          <w:rFonts w:asciiTheme="majorHAnsi" w:hAnsiTheme="majorHAnsi"/>
          <w:b/>
          <w:sz w:val="24"/>
          <w:szCs w:val="24"/>
        </w:rPr>
        <w:t>Ο ΠΡΟΕΔΡΟΣ</w:t>
      </w:r>
    </w:p>
    <w:p w:rsidR="00407FD0" w:rsidRPr="00E029D2" w:rsidRDefault="00407FD0" w:rsidP="00696510">
      <w:pPr>
        <w:spacing w:line="240" w:lineRule="auto"/>
        <w:jc w:val="center"/>
        <w:rPr>
          <w:rFonts w:asciiTheme="majorHAnsi" w:hAnsiTheme="majorHAnsi"/>
          <w:b/>
          <w:sz w:val="24"/>
          <w:szCs w:val="24"/>
        </w:rPr>
      </w:pPr>
    </w:p>
    <w:p w:rsidR="00E70687" w:rsidRPr="00E029D2" w:rsidRDefault="00E70687" w:rsidP="00696510">
      <w:pPr>
        <w:spacing w:line="240" w:lineRule="auto"/>
        <w:jc w:val="center"/>
        <w:rPr>
          <w:rFonts w:asciiTheme="majorHAnsi" w:hAnsiTheme="majorHAnsi"/>
          <w:b/>
          <w:sz w:val="24"/>
          <w:szCs w:val="24"/>
        </w:rPr>
      </w:pPr>
      <w:r w:rsidRPr="00E029D2">
        <w:rPr>
          <w:rFonts w:asciiTheme="majorHAnsi" w:hAnsiTheme="majorHAnsi"/>
          <w:b/>
          <w:sz w:val="24"/>
          <w:szCs w:val="24"/>
        </w:rPr>
        <w:t>Ι. ΒΑΡΔΑΚΑΣΤΑΝΗΣ</w:t>
      </w:r>
    </w:p>
    <w:p w:rsidR="00E70687" w:rsidRPr="00E029D2" w:rsidRDefault="00E70687" w:rsidP="00696510">
      <w:pPr>
        <w:spacing w:line="240" w:lineRule="auto"/>
        <w:jc w:val="center"/>
        <w:rPr>
          <w:rFonts w:asciiTheme="majorHAnsi" w:hAnsiTheme="majorHAnsi"/>
          <w:b/>
          <w:sz w:val="24"/>
          <w:szCs w:val="24"/>
        </w:rPr>
      </w:pPr>
      <w:r w:rsidRPr="00E029D2">
        <w:rPr>
          <w:rFonts w:asciiTheme="majorHAnsi" w:hAnsiTheme="majorHAnsi"/>
          <w:b/>
          <w:sz w:val="24"/>
          <w:szCs w:val="24"/>
        </w:rPr>
        <w:br w:type="column"/>
      </w:r>
      <w:r w:rsidRPr="00E029D2">
        <w:rPr>
          <w:rFonts w:asciiTheme="majorHAnsi" w:hAnsiTheme="majorHAnsi"/>
          <w:b/>
          <w:sz w:val="24"/>
          <w:szCs w:val="24"/>
        </w:rPr>
        <w:t>Ο ΓΕΝ. ΓΡΑΜΜΑΤΕΑΣ</w:t>
      </w:r>
    </w:p>
    <w:p w:rsidR="00407FD0" w:rsidRPr="00E029D2" w:rsidRDefault="00407FD0" w:rsidP="00696510">
      <w:pPr>
        <w:spacing w:line="240" w:lineRule="auto"/>
        <w:jc w:val="center"/>
        <w:rPr>
          <w:rFonts w:asciiTheme="majorHAnsi" w:hAnsiTheme="majorHAnsi"/>
          <w:b/>
          <w:sz w:val="24"/>
          <w:szCs w:val="24"/>
        </w:rPr>
      </w:pPr>
    </w:p>
    <w:p w:rsidR="00E70687" w:rsidRPr="00E029D2" w:rsidRDefault="00E70687" w:rsidP="00696510">
      <w:pPr>
        <w:spacing w:line="240" w:lineRule="auto"/>
        <w:jc w:val="center"/>
        <w:rPr>
          <w:rFonts w:asciiTheme="majorHAnsi" w:hAnsiTheme="majorHAnsi"/>
          <w:b/>
          <w:sz w:val="24"/>
          <w:szCs w:val="24"/>
        </w:rPr>
        <w:sectPr w:rsidR="00E70687" w:rsidRPr="00E029D2" w:rsidSect="00E70687">
          <w:type w:val="continuous"/>
          <w:pgSz w:w="11906" w:h="16838"/>
          <w:pgMar w:top="1440" w:right="1800" w:bottom="1440" w:left="1800" w:header="709" w:footer="370" w:gutter="0"/>
          <w:cols w:num="2" w:space="708"/>
          <w:docGrid w:linePitch="360"/>
        </w:sectPr>
      </w:pPr>
      <w:r w:rsidRPr="00E029D2">
        <w:rPr>
          <w:rFonts w:asciiTheme="majorHAnsi" w:hAnsiTheme="majorHAnsi"/>
          <w:b/>
          <w:sz w:val="24"/>
          <w:szCs w:val="24"/>
        </w:rPr>
        <w:t>ΧΡ. ΝΑΣΤΑΣ</w:t>
      </w:r>
    </w:p>
    <w:p w:rsidR="005615DE" w:rsidRPr="00E029D2" w:rsidRDefault="005615DE" w:rsidP="00696510">
      <w:pPr>
        <w:spacing w:before="600" w:after="120" w:line="240" w:lineRule="auto"/>
        <w:jc w:val="left"/>
        <w:rPr>
          <w:rFonts w:asciiTheme="majorHAnsi" w:hAnsiTheme="majorHAnsi"/>
          <w:b/>
          <w:sz w:val="24"/>
          <w:szCs w:val="24"/>
        </w:rPr>
      </w:pPr>
      <w:r w:rsidRPr="00E029D2">
        <w:rPr>
          <w:rFonts w:asciiTheme="majorHAnsi" w:hAnsiTheme="majorHAnsi"/>
          <w:b/>
          <w:sz w:val="24"/>
          <w:szCs w:val="24"/>
        </w:rPr>
        <w:t xml:space="preserve">Πίνακας Αποδεκτών: </w:t>
      </w:r>
    </w:p>
    <w:p w:rsidR="003E3A28" w:rsidRPr="00E029D2" w:rsidRDefault="00992AAF" w:rsidP="00696510">
      <w:pPr>
        <w:spacing w:after="0" w:line="240" w:lineRule="auto"/>
        <w:jc w:val="left"/>
        <w:rPr>
          <w:rFonts w:asciiTheme="majorHAnsi" w:hAnsiTheme="majorHAnsi"/>
          <w:sz w:val="24"/>
          <w:szCs w:val="24"/>
        </w:rPr>
      </w:pPr>
      <w:r w:rsidRPr="00E029D2">
        <w:rPr>
          <w:rFonts w:asciiTheme="majorHAnsi" w:hAnsiTheme="majorHAnsi"/>
          <w:sz w:val="24"/>
          <w:szCs w:val="24"/>
        </w:rPr>
        <w:t>- Γραφείο Πρωθυπουργού της χώρας, κ. Αλ. Τσίπρα</w:t>
      </w:r>
    </w:p>
    <w:p w:rsidR="003E3A28" w:rsidRPr="00E029D2" w:rsidRDefault="00992AAF" w:rsidP="00696510">
      <w:pPr>
        <w:spacing w:after="0" w:line="240" w:lineRule="auto"/>
        <w:jc w:val="left"/>
        <w:rPr>
          <w:rFonts w:asciiTheme="majorHAnsi" w:hAnsiTheme="majorHAnsi"/>
          <w:sz w:val="24"/>
          <w:szCs w:val="24"/>
        </w:rPr>
      </w:pPr>
      <w:r w:rsidRPr="00E029D2">
        <w:rPr>
          <w:rFonts w:asciiTheme="majorHAnsi" w:hAnsiTheme="majorHAnsi"/>
          <w:sz w:val="24"/>
          <w:szCs w:val="24"/>
        </w:rPr>
        <w:t>- Γραφείο Υπουργού Επικρατείας, κ. Αλ. Φλαμπουράρη</w:t>
      </w:r>
    </w:p>
    <w:p w:rsidR="00A30AA8" w:rsidRPr="00E029D2" w:rsidRDefault="00992AAF" w:rsidP="00696510">
      <w:pPr>
        <w:spacing w:after="0" w:line="240" w:lineRule="auto"/>
        <w:jc w:val="left"/>
        <w:rPr>
          <w:rFonts w:asciiTheme="majorHAnsi" w:hAnsiTheme="majorHAnsi"/>
          <w:sz w:val="24"/>
          <w:szCs w:val="24"/>
        </w:rPr>
      </w:pPr>
      <w:r w:rsidRPr="00E029D2">
        <w:rPr>
          <w:rFonts w:asciiTheme="majorHAnsi" w:hAnsiTheme="majorHAnsi"/>
          <w:sz w:val="24"/>
          <w:szCs w:val="24"/>
        </w:rPr>
        <w:t>- Γραφείο Υπουργού Επικρατείας, κ. Ν. Παππά</w:t>
      </w:r>
    </w:p>
    <w:p w:rsidR="000E2FC0" w:rsidRPr="00E029D2" w:rsidRDefault="000E2FC0" w:rsidP="00696510">
      <w:pPr>
        <w:spacing w:after="0" w:line="240" w:lineRule="auto"/>
        <w:jc w:val="left"/>
        <w:rPr>
          <w:rFonts w:asciiTheme="majorHAnsi" w:hAnsiTheme="majorHAnsi"/>
          <w:sz w:val="24"/>
          <w:szCs w:val="24"/>
        </w:rPr>
      </w:pPr>
      <w:r w:rsidRPr="00E029D2">
        <w:rPr>
          <w:rFonts w:asciiTheme="majorHAnsi" w:hAnsiTheme="majorHAnsi"/>
          <w:sz w:val="24"/>
          <w:szCs w:val="24"/>
        </w:rPr>
        <w:lastRenderedPageBreak/>
        <w:t xml:space="preserve">- κ. </w:t>
      </w:r>
      <w:r w:rsidR="00B73E00" w:rsidRPr="00E029D2">
        <w:rPr>
          <w:rFonts w:asciiTheme="majorHAnsi" w:hAnsiTheme="majorHAnsi"/>
          <w:sz w:val="24"/>
          <w:szCs w:val="24"/>
        </w:rPr>
        <w:t>Ν. Φίλη</w:t>
      </w:r>
      <w:r w:rsidRPr="00E029D2">
        <w:rPr>
          <w:rFonts w:asciiTheme="majorHAnsi" w:hAnsiTheme="majorHAnsi"/>
          <w:sz w:val="24"/>
          <w:szCs w:val="24"/>
        </w:rPr>
        <w:t xml:space="preserve">, Υπουργό </w:t>
      </w:r>
      <w:r w:rsidR="00B73E00" w:rsidRPr="00E029D2">
        <w:rPr>
          <w:rFonts w:asciiTheme="majorHAnsi" w:hAnsiTheme="majorHAnsi"/>
          <w:sz w:val="24"/>
          <w:szCs w:val="24"/>
        </w:rPr>
        <w:t>Παιδείας, Έρευνας και Θρησκευμάτων</w:t>
      </w:r>
    </w:p>
    <w:p w:rsidR="00E22560" w:rsidRPr="00E029D2" w:rsidRDefault="000E2FC0" w:rsidP="00BD61C7">
      <w:pPr>
        <w:spacing w:after="0" w:line="240" w:lineRule="auto"/>
        <w:jc w:val="left"/>
        <w:rPr>
          <w:rFonts w:asciiTheme="majorHAnsi" w:hAnsiTheme="majorHAnsi"/>
          <w:sz w:val="24"/>
          <w:szCs w:val="24"/>
        </w:rPr>
      </w:pPr>
      <w:r w:rsidRPr="00E029D2">
        <w:rPr>
          <w:rFonts w:asciiTheme="majorHAnsi" w:hAnsiTheme="majorHAnsi"/>
          <w:sz w:val="24"/>
          <w:szCs w:val="24"/>
        </w:rPr>
        <w:t xml:space="preserve">- </w:t>
      </w:r>
      <w:r w:rsidR="00B73E00" w:rsidRPr="00E029D2">
        <w:rPr>
          <w:rFonts w:asciiTheme="majorHAnsi" w:hAnsiTheme="majorHAnsi"/>
          <w:sz w:val="24"/>
          <w:szCs w:val="24"/>
        </w:rPr>
        <w:t xml:space="preserve">κα Αθ. Αναγνωστοπούλου, </w:t>
      </w:r>
      <w:r w:rsidR="00BD61C7" w:rsidRPr="00E029D2">
        <w:rPr>
          <w:rFonts w:asciiTheme="majorHAnsi" w:hAnsiTheme="majorHAnsi"/>
          <w:sz w:val="24"/>
          <w:szCs w:val="24"/>
        </w:rPr>
        <w:t>Αναπληρ</w:t>
      </w:r>
      <w:r w:rsidR="00B73E00" w:rsidRPr="00E029D2">
        <w:rPr>
          <w:rFonts w:asciiTheme="majorHAnsi" w:hAnsiTheme="majorHAnsi"/>
          <w:sz w:val="24"/>
          <w:szCs w:val="24"/>
        </w:rPr>
        <w:t>ώτρια</w:t>
      </w:r>
      <w:r w:rsidR="00BD61C7" w:rsidRPr="00E029D2">
        <w:rPr>
          <w:rFonts w:asciiTheme="majorHAnsi" w:hAnsiTheme="majorHAnsi"/>
          <w:sz w:val="24"/>
          <w:szCs w:val="24"/>
        </w:rPr>
        <w:t xml:space="preserve"> Υπουργό </w:t>
      </w:r>
      <w:r w:rsidR="00B73E00" w:rsidRPr="00E029D2">
        <w:rPr>
          <w:rFonts w:asciiTheme="majorHAnsi" w:hAnsiTheme="majorHAnsi"/>
          <w:sz w:val="24"/>
          <w:szCs w:val="24"/>
        </w:rPr>
        <w:t xml:space="preserve">Παιδείας, Έρευνας και Θρησκευμάτων </w:t>
      </w:r>
    </w:p>
    <w:p w:rsidR="00BD61C7" w:rsidRPr="00E029D2" w:rsidRDefault="00BD61C7" w:rsidP="00BD61C7">
      <w:pPr>
        <w:spacing w:after="0" w:line="240" w:lineRule="auto"/>
        <w:jc w:val="left"/>
        <w:rPr>
          <w:rFonts w:asciiTheme="majorHAnsi" w:hAnsiTheme="majorHAnsi"/>
          <w:sz w:val="24"/>
          <w:szCs w:val="24"/>
        </w:rPr>
      </w:pPr>
      <w:r w:rsidRPr="00E029D2">
        <w:rPr>
          <w:rFonts w:asciiTheme="majorHAnsi" w:hAnsiTheme="majorHAnsi"/>
          <w:sz w:val="24"/>
          <w:szCs w:val="24"/>
        </w:rPr>
        <w:t xml:space="preserve">- κ. Ι. </w:t>
      </w:r>
      <w:proofErr w:type="spellStart"/>
      <w:r w:rsidR="00B73E00" w:rsidRPr="00E029D2">
        <w:rPr>
          <w:rFonts w:asciiTheme="majorHAnsi" w:hAnsiTheme="majorHAnsi"/>
          <w:sz w:val="24"/>
          <w:szCs w:val="24"/>
        </w:rPr>
        <w:t>Παντή</w:t>
      </w:r>
      <w:proofErr w:type="spellEnd"/>
      <w:r w:rsidRPr="00E029D2">
        <w:rPr>
          <w:rFonts w:asciiTheme="majorHAnsi" w:hAnsiTheme="majorHAnsi"/>
          <w:sz w:val="24"/>
          <w:szCs w:val="24"/>
        </w:rPr>
        <w:t>,</w:t>
      </w:r>
      <w:r w:rsidR="00B73E00" w:rsidRPr="00E029D2">
        <w:rPr>
          <w:rFonts w:asciiTheme="majorHAnsi" w:hAnsiTheme="majorHAnsi"/>
          <w:sz w:val="24"/>
          <w:szCs w:val="24"/>
        </w:rPr>
        <w:t xml:space="preserve"> Γενικό Γραμματέα Υπουργείου Παιδείας</w:t>
      </w:r>
    </w:p>
    <w:p w:rsidR="00B73E00" w:rsidRPr="00E029D2" w:rsidRDefault="00B73E00" w:rsidP="00BD61C7">
      <w:pPr>
        <w:spacing w:after="0" w:line="240" w:lineRule="auto"/>
        <w:jc w:val="left"/>
        <w:rPr>
          <w:rFonts w:asciiTheme="majorHAnsi" w:hAnsiTheme="majorHAnsi"/>
          <w:sz w:val="24"/>
          <w:szCs w:val="24"/>
        </w:rPr>
      </w:pPr>
      <w:r w:rsidRPr="00E029D2">
        <w:rPr>
          <w:rFonts w:asciiTheme="majorHAnsi" w:hAnsiTheme="majorHAnsi"/>
          <w:sz w:val="24"/>
          <w:szCs w:val="24"/>
        </w:rPr>
        <w:t xml:space="preserve">- κ. Θ. </w:t>
      </w:r>
      <w:proofErr w:type="spellStart"/>
      <w:r w:rsidRPr="00E029D2">
        <w:rPr>
          <w:rFonts w:asciiTheme="majorHAnsi" w:hAnsiTheme="majorHAnsi"/>
          <w:sz w:val="24"/>
          <w:szCs w:val="24"/>
        </w:rPr>
        <w:t>Μαλούτα</w:t>
      </w:r>
      <w:proofErr w:type="spellEnd"/>
      <w:r w:rsidRPr="00E029D2">
        <w:rPr>
          <w:rFonts w:asciiTheme="majorHAnsi" w:hAnsiTheme="majorHAnsi"/>
          <w:sz w:val="24"/>
          <w:szCs w:val="24"/>
        </w:rPr>
        <w:t>, Γενικό Γραμματέα Έρευνας και Τεχνολογίας</w:t>
      </w:r>
    </w:p>
    <w:p w:rsidR="00B73E00" w:rsidRPr="00E029D2" w:rsidRDefault="00B73E00" w:rsidP="00BD61C7">
      <w:pPr>
        <w:spacing w:after="0" w:line="240" w:lineRule="auto"/>
        <w:jc w:val="left"/>
        <w:rPr>
          <w:rFonts w:asciiTheme="majorHAnsi" w:hAnsiTheme="majorHAnsi"/>
          <w:sz w:val="24"/>
          <w:szCs w:val="24"/>
        </w:rPr>
      </w:pPr>
      <w:r w:rsidRPr="00E029D2">
        <w:rPr>
          <w:rFonts w:asciiTheme="majorHAnsi" w:hAnsiTheme="majorHAnsi"/>
          <w:sz w:val="24"/>
          <w:szCs w:val="24"/>
        </w:rPr>
        <w:t xml:space="preserve">- κ. Π. Παπαγεωργίου, Γενικό Γραμματέα Δια Βίου Μάθησης και Νέας Γενιάς </w:t>
      </w:r>
    </w:p>
    <w:p w:rsidR="00284308" w:rsidRPr="00E029D2" w:rsidRDefault="00992AAF" w:rsidP="003E3A28">
      <w:pPr>
        <w:spacing w:after="0" w:line="240" w:lineRule="auto"/>
        <w:rPr>
          <w:rFonts w:asciiTheme="majorHAnsi" w:hAnsiTheme="majorHAnsi"/>
          <w:sz w:val="24"/>
          <w:szCs w:val="24"/>
        </w:rPr>
      </w:pPr>
      <w:r w:rsidRPr="00E029D2">
        <w:rPr>
          <w:rFonts w:asciiTheme="majorHAnsi" w:hAnsiTheme="majorHAnsi"/>
          <w:sz w:val="24"/>
          <w:szCs w:val="24"/>
        </w:rPr>
        <w:t>- Φορείς Μέλη της Ε.Σ.Α.μεΑ.</w:t>
      </w:r>
      <w:r w:rsidR="0015502C" w:rsidRPr="00E029D2">
        <w:rPr>
          <w:rFonts w:asciiTheme="majorHAnsi" w:hAnsiTheme="majorHAnsi"/>
          <w:color w:val="auto"/>
          <w:sz w:val="24"/>
          <w:szCs w:val="24"/>
        </w:rPr>
        <w:t xml:space="preserve"> </w:t>
      </w:r>
    </w:p>
    <w:sectPr w:rsidR="00284308" w:rsidRPr="00E029D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82" w:rsidRDefault="00A01882" w:rsidP="00A5663B">
      <w:pPr>
        <w:spacing w:after="0" w:line="240" w:lineRule="auto"/>
      </w:pPr>
      <w:r>
        <w:separator/>
      </w:r>
    </w:p>
  </w:endnote>
  <w:endnote w:type="continuationSeparator" w:id="0">
    <w:p w:rsidR="00A01882" w:rsidRDefault="00A0188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694140C8" wp14:editId="075F1C8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82" w:rsidRDefault="00A01882" w:rsidP="00A5663B">
      <w:pPr>
        <w:spacing w:after="0" w:line="240" w:lineRule="auto"/>
      </w:pPr>
      <w:r>
        <w:separator/>
      </w:r>
    </w:p>
  </w:footnote>
  <w:footnote w:type="continuationSeparator" w:id="0">
    <w:p w:rsidR="00A01882" w:rsidRDefault="00A0188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029D2">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6D04BC"/>
    <w:multiLevelType w:val="hybridMultilevel"/>
    <w:tmpl w:val="3D705D06"/>
    <w:lvl w:ilvl="0" w:tplc="52B6A7A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266E3A"/>
    <w:multiLevelType w:val="hybridMultilevel"/>
    <w:tmpl w:val="4C5E3C2C"/>
    <w:lvl w:ilvl="0" w:tplc="42DEC5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1"/>
  </w:num>
  <w:num w:numId="13">
    <w:abstractNumId w:val="2"/>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60DDF"/>
    <w:rsid w:val="00073B3D"/>
    <w:rsid w:val="00081D26"/>
    <w:rsid w:val="00095977"/>
    <w:rsid w:val="000A5A80"/>
    <w:rsid w:val="000B0BF2"/>
    <w:rsid w:val="000C602B"/>
    <w:rsid w:val="000D2B74"/>
    <w:rsid w:val="000D478A"/>
    <w:rsid w:val="000E1F0D"/>
    <w:rsid w:val="000E2FC0"/>
    <w:rsid w:val="000E6BB8"/>
    <w:rsid w:val="00112AA4"/>
    <w:rsid w:val="00113EB5"/>
    <w:rsid w:val="00126A47"/>
    <w:rsid w:val="001301B8"/>
    <w:rsid w:val="001520BE"/>
    <w:rsid w:val="0015502C"/>
    <w:rsid w:val="00163D12"/>
    <w:rsid w:val="00165E13"/>
    <w:rsid w:val="00180038"/>
    <w:rsid w:val="00194B38"/>
    <w:rsid w:val="001B1B58"/>
    <w:rsid w:val="001B22A4"/>
    <w:rsid w:val="001B3428"/>
    <w:rsid w:val="001B52A2"/>
    <w:rsid w:val="001D2440"/>
    <w:rsid w:val="00201532"/>
    <w:rsid w:val="00201C93"/>
    <w:rsid w:val="00205B76"/>
    <w:rsid w:val="00207487"/>
    <w:rsid w:val="00207F36"/>
    <w:rsid w:val="002428AB"/>
    <w:rsid w:val="00255E30"/>
    <w:rsid w:val="00261DE7"/>
    <w:rsid w:val="00275BAB"/>
    <w:rsid w:val="00280689"/>
    <w:rsid w:val="00284308"/>
    <w:rsid w:val="00284722"/>
    <w:rsid w:val="00295414"/>
    <w:rsid w:val="002A6D93"/>
    <w:rsid w:val="002C7E7C"/>
    <w:rsid w:val="002D1046"/>
    <w:rsid w:val="002E3498"/>
    <w:rsid w:val="003137AC"/>
    <w:rsid w:val="00323972"/>
    <w:rsid w:val="00330E61"/>
    <w:rsid w:val="003320B6"/>
    <w:rsid w:val="0036458E"/>
    <w:rsid w:val="00375EFD"/>
    <w:rsid w:val="003775D2"/>
    <w:rsid w:val="00381527"/>
    <w:rsid w:val="003870E7"/>
    <w:rsid w:val="003A0E24"/>
    <w:rsid w:val="003B7A83"/>
    <w:rsid w:val="003C044E"/>
    <w:rsid w:val="003C115F"/>
    <w:rsid w:val="003C11C3"/>
    <w:rsid w:val="003E3A28"/>
    <w:rsid w:val="003E6E70"/>
    <w:rsid w:val="00400168"/>
    <w:rsid w:val="00404087"/>
    <w:rsid w:val="00407FD0"/>
    <w:rsid w:val="00412BB7"/>
    <w:rsid w:val="00413E31"/>
    <w:rsid w:val="00421F44"/>
    <w:rsid w:val="00431F32"/>
    <w:rsid w:val="00442A34"/>
    <w:rsid w:val="00445AF5"/>
    <w:rsid w:val="00464EF9"/>
    <w:rsid w:val="004807F3"/>
    <w:rsid w:val="004A3582"/>
    <w:rsid w:val="004C4DDE"/>
    <w:rsid w:val="004D2E3C"/>
    <w:rsid w:val="004F583A"/>
    <w:rsid w:val="0052337F"/>
    <w:rsid w:val="00530C1A"/>
    <w:rsid w:val="00540651"/>
    <w:rsid w:val="005615DE"/>
    <w:rsid w:val="00576E64"/>
    <w:rsid w:val="005924F6"/>
    <w:rsid w:val="005A0C20"/>
    <w:rsid w:val="005C081C"/>
    <w:rsid w:val="005C4CD5"/>
    <w:rsid w:val="005F29A9"/>
    <w:rsid w:val="00641EB2"/>
    <w:rsid w:val="00642D92"/>
    <w:rsid w:val="006505EF"/>
    <w:rsid w:val="00651CD5"/>
    <w:rsid w:val="00654E3B"/>
    <w:rsid w:val="0066371D"/>
    <w:rsid w:val="00696510"/>
    <w:rsid w:val="00696521"/>
    <w:rsid w:val="006F189F"/>
    <w:rsid w:val="0070555C"/>
    <w:rsid w:val="00707F8B"/>
    <w:rsid w:val="007331AE"/>
    <w:rsid w:val="0074741F"/>
    <w:rsid w:val="007669B3"/>
    <w:rsid w:val="0077016C"/>
    <w:rsid w:val="007A1AB6"/>
    <w:rsid w:val="007D4A7A"/>
    <w:rsid w:val="007D6FF1"/>
    <w:rsid w:val="007E6F30"/>
    <w:rsid w:val="00811A9B"/>
    <w:rsid w:val="00812C30"/>
    <w:rsid w:val="008168DE"/>
    <w:rsid w:val="00834D64"/>
    <w:rsid w:val="00866369"/>
    <w:rsid w:val="008963E5"/>
    <w:rsid w:val="008B6BF5"/>
    <w:rsid w:val="008F1417"/>
    <w:rsid w:val="008F4A49"/>
    <w:rsid w:val="008F5096"/>
    <w:rsid w:val="00914B46"/>
    <w:rsid w:val="009165A2"/>
    <w:rsid w:val="00933E1D"/>
    <w:rsid w:val="009529D3"/>
    <w:rsid w:val="00976FCE"/>
    <w:rsid w:val="00986DBC"/>
    <w:rsid w:val="00992AAF"/>
    <w:rsid w:val="00993479"/>
    <w:rsid w:val="009B3183"/>
    <w:rsid w:val="009B6ADE"/>
    <w:rsid w:val="009D239A"/>
    <w:rsid w:val="009E6EFA"/>
    <w:rsid w:val="009F5541"/>
    <w:rsid w:val="00A01882"/>
    <w:rsid w:val="00A04AA2"/>
    <w:rsid w:val="00A1506E"/>
    <w:rsid w:val="00A30AA8"/>
    <w:rsid w:val="00A5663B"/>
    <w:rsid w:val="00A973CC"/>
    <w:rsid w:val="00AA4B13"/>
    <w:rsid w:val="00AE0048"/>
    <w:rsid w:val="00B01AB1"/>
    <w:rsid w:val="00B03B9D"/>
    <w:rsid w:val="00B0528D"/>
    <w:rsid w:val="00B14C5A"/>
    <w:rsid w:val="00B156B1"/>
    <w:rsid w:val="00B16D1B"/>
    <w:rsid w:val="00B236B6"/>
    <w:rsid w:val="00B71173"/>
    <w:rsid w:val="00B73E00"/>
    <w:rsid w:val="00B816B7"/>
    <w:rsid w:val="00BB413D"/>
    <w:rsid w:val="00BB78EF"/>
    <w:rsid w:val="00BB7C2C"/>
    <w:rsid w:val="00BC4513"/>
    <w:rsid w:val="00BD61C7"/>
    <w:rsid w:val="00C15553"/>
    <w:rsid w:val="00C45B47"/>
    <w:rsid w:val="00C650EE"/>
    <w:rsid w:val="00C65325"/>
    <w:rsid w:val="00C65362"/>
    <w:rsid w:val="00C80338"/>
    <w:rsid w:val="00C816E0"/>
    <w:rsid w:val="00CD13B1"/>
    <w:rsid w:val="00CD4B56"/>
    <w:rsid w:val="00CE02E3"/>
    <w:rsid w:val="00CE26A1"/>
    <w:rsid w:val="00CE6449"/>
    <w:rsid w:val="00D13C3F"/>
    <w:rsid w:val="00D1688C"/>
    <w:rsid w:val="00D255DF"/>
    <w:rsid w:val="00D2579D"/>
    <w:rsid w:val="00D265A9"/>
    <w:rsid w:val="00D4350F"/>
    <w:rsid w:val="00D47C50"/>
    <w:rsid w:val="00D601DA"/>
    <w:rsid w:val="00D7510D"/>
    <w:rsid w:val="00D879F0"/>
    <w:rsid w:val="00D93563"/>
    <w:rsid w:val="00D9448A"/>
    <w:rsid w:val="00DB674B"/>
    <w:rsid w:val="00DC7532"/>
    <w:rsid w:val="00DC7B61"/>
    <w:rsid w:val="00DE528A"/>
    <w:rsid w:val="00DE566F"/>
    <w:rsid w:val="00E029D2"/>
    <w:rsid w:val="00E22560"/>
    <w:rsid w:val="00E2409A"/>
    <w:rsid w:val="00E25025"/>
    <w:rsid w:val="00E30E5D"/>
    <w:rsid w:val="00E60D89"/>
    <w:rsid w:val="00E70687"/>
    <w:rsid w:val="00EB69A8"/>
    <w:rsid w:val="00EE3752"/>
    <w:rsid w:val="00EE41A4"/>
    <w:rsid w:val="00EE5935"/>
    <w:rsid w:val="00EE6171"/>
    <w:rsid w:val="00EF3B4B"/>
    <w:rsid w:val="00F01CB5"/>
    <w:rsid w:val="00F15EA8"/>
    <w:rsid w:val="00F21B29"/>
    <w:rsid w:val="00F2259E"/>
    <w:rsid w:val="00F310D0"/>
    <w:rsid w:val="00F33C90"/>
    <w:rsid w:val="00F348ED"/>
    <w:rsid w:val="00F37AD0"/>
    <w:rsid w:val="00F46BF5"/>
    <w:rsid w:val="00F60186"/>
    <w:rsid w:val="00F6046E"/>
    <w:rsid w:val="00F62902"/>
    <w:rsid w:val="00F62BC1"/>
    <w:rsid w:val="00F854E0"/>
    <w:rsid w:val="00F97E10"/>
    <w:rsid w:val="00FB02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305F5-B42A-4BC4-909F-CC7C53FF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F5"/>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381557770">
      <w:bodyDiv w:val="1"/>
      <w:marLeft w:val="0"/>
      <w:marRight w:val="0"/>
      <w:marTop w:val="0"/>
      <w:marBottom w:val="0"/>
      <w:divBdr>
        <w:top w:val="none" w:sz="0" w:space="0" w:color="auto"/>
        <w:left w:val="none" w:sz="0" w:space="0" w:color="auto"/>
        <w:bottom w:val="none" w:sz="0" w:space="0" w:color="auto"/>
        <w:right w:val="none" w:sz="0" w:space="0" w:color="auto"/>
      </w:divBdr>
    </w:div>
    <w:div w:id="752434130">
      <w:bodyDiv w:val="1"/>
      <w:marLeft w:val="0"/>
      <w:marRight w:val="0"/>
      <w:marTop w:val="0"/>
      <w:marBottom w:val="0"/>
      <w:divBdr>
        <w:top w:val="none" w:sz="0" w:space="0" w:color="auto"/>
        <w:left w:val="none" w:sz="0" w:space="0" w:color="auto"/>
        <w:bottom w:val="none" w:sz="0" w:space="0" w:color="auto"/>
        <w:right w:val="none" w:sz="0" w:space="0" w:color="auto"/>
      </w:divBdr>
    </w:div>
    <w:div w:id="858200610">
      <w:bodyDiv w:val="1"/>
      <w:marLeft w:val="0"/>
      <w:marRight w:val="0"/>
      <w:marTop w:val="0"/>
      <w:marBottom w:val="0"/>
      <w:divBdr>
        <w:top w:val="none" w:sz="0" w:space="0" w:color="auto"/>
        <w:left w:val="none" w:sz="0" w:space="0" w:color="auto"/>
        <w:bottom w:val="none" w:sz="0" w:space="0" w:color="auto"/>
        <w:right w:val="none" w:sz="0" w:space="0" w:color="auto"/>
      </w:divBdr>
    </w:div>
    <w:div w:id="933587887">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A0AE9C-55CA-4073-BB16-A6AF3464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10083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2016-01-12T07:29:00Z</cp:lastPrinted>
  <dcterms:created xsi:type="dcterms:W3CDTF">2016-04-14T08:24:00Z</dcterms:created>
  <dcterms:modified xsi:type="dcterms:W3CDTF">2016-04-14T08:24:00Z</dcterms:modified>
</cp:coreProperties>
</file>